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DC45" w14:textId="4CBBD89E" w:rsidR="002E1AF5" w:rsidRPr="002E1AF5" w:rsidRDefault="002E1AF5" w:rsidP="002E1AF5">
      <w:pPr>
        <w:rPr>
          <w:rFonts w:ascii="Verdana" w:hAnsi="Verdana"/>
          <w:b/>
          <w:bCs/>
          <w:sz w:val="32"/>
          <w:szCs w:val="32"/>
        </w:rPr>
      </w:pPr>
      <w:r w:rsidRPr="00CA03C8">
        <w:rPr>
          <w:rFonts w:ascii="Verdana" w:hAnsi="Verdana" w:cs="Verdana"/>
          <w:b/>
          <w:noProof/>
          <w:color w:val="FF0000"/>
          <w:sz w:val="28"/>
          <w:szCs w:val="28"/>
          <w:vertAlign w:val="subscript"/>
          <w:lang w:val="en-GB" w:eastAsia="en-GB"/>
        </w:rPr>
        <w:drawing>
          <wp:anchor distT="0" distB="0" distL="114300" distR="114300" simplePos="0" relativeHeight="251663872" behindDoc="1" locked="0" layoutInCell="1" allowOverlap="1" wp14:anchorId="5324E952" wp14:editId="6CF74C55">
            <wp:simplePos x="0" y="0"/>
            <wp:positionH relativeFrom="column">
              <wp:posOffset>-1168400</wp:posOffset>
            </wp:positionH>
            <wp:positionV relativeFrom="paragraph">
              <wp:posOffset>-842010</wp:posOffset>
            </wp:positionV>
            <wp:extent cx="7683504" cy="10868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2E1AF5">
        <w:rPr>
          <w:rFonts w:ascii="Verdana" w:hAnsi="Verdana"/>
          <w:b/>
          <w:bCs/>
          <w:sz w:val="32"/>
          <w:szCs w:val="32"/>
        </w:rPr>
        <w:t xml:space="preserve">Gardens Trust Training Handout: </w:t>
      </w:r>
    </w:p>
    <w:p w14:paraId="349EED4F" w14:textId="451136D3" w:rsidR="002B41AE" w:rsidRPr="002E1AF5" w:rsidRDefault="002E1AF5" w:rsidP="002E1AF5">
      <w:pPr>
        <w:rPr>
          <w:rFonts w:ascii="Verdana" w:hAnsi="Verdana"/>
          <w:b/>
          <w:bCs/>
          <w:sz w:val="32"/>
          <w:szCs w:val="32"/>
        </w:rPr>
      </w:pPr>
      <w:r w:rsidRPr="002E1AF5">
        <w:rPr>
          <w:rFonts w:ascii="Verdana" w:hAnsi="Verdana"/>
          <w:b/>
          <w:bCs/>
          <w:sz w:val="32"/>
          <w:szCs w:val="32"/>
        </w:rPr>
        <w:t>Historic Environment Records</w:t>
      </w:r>
      <w:r w:rsidR="00533976" w:rsidRPr="002E1AF5">
        <w:rPr>
          <w:rFonts w:ascii="Verdana" w:hAnsi="Verdana"/>
          <w:b/>
          <w:bCs/>
          <w:sz w:val="32"/>
          <w:szCs w:val="32"/>
        </w:rPr>
        <w:t xml:space="preserve"> </w:t>
      </w:r>
      <w:r w:rsidRPr="002E1AF5">
        <w:rPr>
          <w:rFonts w:ascii="Verdana" w:hAnsi="Verdana"/>
          <w:b/>
          <w:bCs/>
          <w:sz w:val="32"/>
          <w:szCs w:val="32"/>
        </w:rPr>
        <w:t>(HERs)</w:t>
      </w:r>
    </w:p>
    <w:p w14:paraId="205F5A3B" w14:textId="45F64355" w:rsidR="002E1AF5" w:rsidRPr="002E1AF5" w:rsidRDefault="002E1AF5" w:rsidP="002E1AF5">
      <w:pPr>
        <w:rPr>
          <w:sz w:val="32"/>
          <w:szCs w:val="32"/>
        </w:rPr>
      </w:pPr>
      <w:bookmarkStart w:id="0" w:name="_Hlk19192865"/>
    </w:p>
    <w:p w14:paraId="05154CA6" w14:textId="6D24CC6A" w:rsidR="002E1AF5" w:rsidRDefault="002E1AF5" w:rsidP="002E1AF5">
      <w:pPr>
        <w:jc w:val="right"/>
      </w:pPr>
    </w:p>
    <w:p w14:paraId="1D2A2D29" w14:textId="5DCAEB90" w:rsidR="002E1AF5" w:rsidRPr="006A1BBD" w:rsidRDefault="002E1AF5" w:rsidP="002E1AF5">
      <w:pPr>
        <w:jc w:val="right"/>
        <w:rPr>
          <w:color w:val="00B050"/>
          <w:sz w:val="20"/>
          <w:szCs w:val="20"/>
        </w:rPr>
      </w:pPr>
    </w:p>
    <w:p w14:paraId="2BBD7390" w14:textId="406F776D" w:rsidR="002E1AF5" w:rsidRPr="002E1AF5" w:rsidRDefault="002E1AF5" w:rsidP="002E1AF5">
      <w:pPr>
        <w:pStyle w:val="NoSpacing"/>
        <w:rPr>
          <w:rFonts w:ascii="Verdana" w:hAnsi="Verdana"/>
          <w:b/>
          <w:sz w:val="24"/>
          <w:szCs w:val="24"/>
        </w:rPr>
      </w:pPr>
      <w:r w:rsidRPr="002E1AF5">
        <w:rPr>
          <w:rFonts w:ascii="Verdana" w:hAnsi="Verdana"/>
          <w:b/>
          <w:sz w:val="24"/>
          <w:szCs w:val="24"/>
        </w:rPr>
        <w:t xml:space="preserve">What are </w:t>
      </w:r>
      <w:r w:rsidRPr="002E1AF5">
        <w:rPr>
          <w:rFonts w:ascii="Verdana" w:hAnsi="Verdana"/>
          <w:b/>
          <w:sz w:val="24"/>
          <w:szCs w:val="24"/>
        </w:rPr>
        <w:t>Historic Environment Records (</w:t>
      </w:r>
      <w:r w:rsidRPr="002E1AF5">
        <w:rPr>
          <w:rFonts w:ascii="Verdana" w:hAnsi="Verdana"/>
          <w:b/>
          <w:sz w:val="24"/>
          <w:szCs w:val="24"/>
        </w:rPr>
        <w:t>HERs</w:t>
      </w:r>
      <w:r w:rsidRPr="002E1AF5">
        <w:rPr>
          <w:rFonts w:ascii="Verdana" w:hAnsi="Verdana"/>
          <w:b/>
          <w:sz w:val="24"/>
          <w:szCs w:val="24"/>
        </w:rPr>
        <w:t>)</w:t>
      </w:r>
      <w:r w:rsidRPr="002E1AF5">
        <w:rPr>
          <w:rFonts w:ascii="Verdana" w:hAnsi="Verdana"/>
          <w:b/>
          <w:sz w:val="24"/>
          <w:szCs w:val="24"/>
        </w:rPr>
        <w:t>?</w:t>
      </w:r>
    </w:p>
    <w:p w14:paraId="1E0716CF" w14:textId="77777777" w:rsidR="002E1AF5" w:rsidRPr="00160C15" w:rsidRDefault="002E1AF5" w:rsidP="002E1AF5">
      <w:pPr>
        <w:pStyle w:val="NoSpacing"/>
        <w:numPr>
          <w:ilvl w:val="0"/>
          <w:numId w:val="7"/>
        </w:numPr>
        <w:rPr>
          <w:rFonts w:ascii="Verdana" w:hAnsi="Verdana"/>
        </w:rPr>
      </w:pPr>
      <w:r w:rsidRPr="00160C15">
        <w:rPr>
          <w:rFonts w:ascii="Verdana" w:hAnsi="Verdana"/>
        </w:rPr>
        <w:t xml:space="preserve">Historic Environment Records (HERs) represent the most complete record of known archaeological and historic sites in their respective counties. </w:t>
      </w:r>
    </w:p>
    <w:p w14:paraId="1102BF38" w14:textId="77777777" w:rsidR="002E1AF5" w:rsidRDefault="002E1AF5" w:rsidP="002E1AF5">
      <w:pPr>
        <w:pStyle w:val="NoSpacing"/>
        <w:numPr>
          <w:ilvl w:val="0"/>
          <w:numId w:val="7"/>
        </w:numPr>
        <w:rPr>
          <w:rFonts w:ascii="Verdana" w:hAnsi="Verdana"/>
        </w:rPr>
      </w:pPr>
      <w:r w:rsidRPr="00160C15">
        <w:rPr>
          <w:rFonts w:ascii="Verdana" w:hAnsi="Verdana"/>
        </w:rPr>
        <w:t>Planning guidance states that local planning authorities should at least have access to, if not maintain, an HER that covers their administrative area.</w:t>
      </w:r>
      <w:r>
        <w:rPr>
          <w:rFonts w:ascii="Verdana" w:hAnsi="Verdana"/>
        </w:rPr>
        <w:t xml:space="preserve"> </w:t>
      </w:r>
      <w:r>
        <w:rPr>
          <w:rFonts w:ascii="Verdana" w:hAnsi="Verdana" w:cstheme="minorHAnsi"/>
          <w:lang w:eastAsia="en-GB"/>
        </w:rPr>
        <w:t>HERs</w:t>
      </w:r>
      <w:r w:rsidRPr="00160C15">
        <w:rPr>
          <w:rFonts w:ascii="Verdana" w:hAnsi="Verdana" w:cstheme="minorHAnsi"/>
          <w:lang w:eastAsia="en-GB"/>
        </w:rPr>
        <w:t xml:space="preserve"> are an important tool within the planning process.  </w:t>
      </w:r>
    </w:p>
    <w:p w14:paraId="316E8DC7" w14:textId="77777777" w:rsidR="002E1AF5" w:rsidRDefault="002E1AF5" w:rsidP="002E1AF5">
      <w:pPr>
        <w:pStyle w:val="NoSpacing"/>
        <w:numPr>
          <w:ilvl w:val="0"/>
          <w:numId w:val="7"/>
        </w:numPr>
        <w:rPr>
          <w:rFonts w:ascii="Verdana" w:hAnsi="Verdana" w:cstheme="minorHAnsi"/>
          <w:lang w:eastAsia="en-GB"/>
        </w:rPr>
      </w:pPr>
      <w:r w:rsidRPr="00160C15">
        <w:rPr>
          <w:rFonts w:ascii="Verdana" w:hAnsi="Verdana" w:cstheme="minorHAnsi"/>
          <w:lang w:eastAsia="en-GB"/>
        </w:rPr>
        <w:t>HERs are public resources which have a wide range of uses: e.g. land use planning, conservation, research, education and general interest.  They are free to use to members of the public.</w:t>
      </w:r>
    </w:p>
    <w:p w14:paraId="7941DB3D" w14:textId="77777777" w:rsidR="002E1AF5" w:rsidRPr="00266918" w:rsidRDefault="002E1AF5" w:rsidP="002E1AF5">
      <w:pPr>
        <w:pStyle w:val="NoSpacing"/>
        <w:numPr>
          <w:ilvl w:val="0"/>
          <w:numId w:val="7"/>
        </w:numPr>
        <w:rPr>
          <w:rFonts w:ascii="Verdana" w:hAnsi="Verdana" w:cstheme="minorHAnsi"/>
          <w:lang w:eastAsia="en-GB"/>
        </w:rPr>
      </w:pPr>
      <w:r w:rsidRPr="00266918">
        <w:rPr>
          <w:rFonts w:ascii="Verdana" w:hAnsi="Verdana" w:cstheme="minorHAnsi"/>
          <w:lang w:eastAsia="en-GB"/>
        </w:rPr>
        <w:t>HERs aim to help protect and inform future management, and enjoyment, of the historic environment.</w:t>
      </w:r>
    </w:p>
    <w:p w14:paraId="6E84AC18" w14:textId="77777777" w:rsidR="002E1AF5" w:rsidRPr="00266918" w:rsidRDefault="002E1AF5" w:rsidP="002E1AF5">
      <w:pPr>
        <w:pStyle w:val="NoSpacing"/>
        <w:ind w:left="360"/>
        <w:rPr>
          <w:rFonts w:ascii="Verdana" w:hAnsi="Verdana" w:cstheme="minorHAnsi"/>
          <w:lang w:eastAsia="en-GB"/>
        </w:rPr>
      </w:pPr>
    </w:p>
    <w:p w14:paraId="72CAF526" w14:textId="77777777" w:rsidR="002E1AF5" w:rsidRPr="002E1AF5" w:rsidRDefault="002E1AF5" w:rsidP="002E1AF5">
      <w:pPr>
        <w:pStyle w:val="NoSpacing"/>
        <w:rPr>
          <w:rFonts w:ascii="Verdana" w:hAnsi="Verdana" w:cstheme="minorHAnsi"/>
          <w:b/>
          <w:sz w:val="24"/>
          <w:szCs w:val="24"/>
          <w:lang w:eastAsia="en-GB"/>
        </w:rPr>
      </w:pPr>
      <w:r w:rsidRPr="002E1AF5">
        <w:rPr>
          <w:rFonts w:ascii="Verdana" w:hAnsi="Verdana" w:cstheme="minorHAnsi"/>
          <w:b/>
          <w:sz w:val="24"/>
          <w:szCs w:val="24"/>
          <w:lang w:eastAsia="en-GB"/>
        </w:rPr>
        <w:t>Who uses HERs?</w:t>
      </w:r>
    </w:p>
    <w:p w14:paraId="6F2BAA50" w14:textId="77777777" w:rsidR="002E1AF5" w:rsidRPr="00160C15" w:rsidRDefault="002E1AF5" w:rsidP="002E1AF5">
      <w:pPr>
        <w:pStyle w:val="NoSpacing"/>
        <w:numPr>
          <w:ilvl w:val="0"/>
          <w:numId w:val="7"/>
        </w:numPr>
        <w:rPr>
          <w:rFonts w:ascii="Verdana" w:hAnsi="Verdana" w:cstheme="minorHAnsi"/>
          <w:lang w:eastAsia="en-GB"/>
        </w:rPr>
      </w:pPr>
      <w:r w:rsidRPr="00266918">
        <w:rPr>
          <w:rFonts w:ascii="Verdana" w:hAnsi="Verdana" w:cstheme="minorHAnsi"/>
          <w:b/>
          <w:lang w:eastAsia="en-GB"/>
        </w:rPr>
        <w:t>Development Control staff</w:t>
      </w:r>
      <w:r>
        <w:rPr>
          <w:rFonts w:ascii="Verdana" w:hAnsi="Verdana" w:cstheme="minorHAnsi"/>
          <w:b/>
          <w:lang w:eastAsia="en-GB"/>
        </w:rPr>
        <w:t xml:space="preserve"> </w:t>
      </w:r>
      <w:r w:rsidRPr="00266918">
        <w:rPr>
          <w:rFonts w:ascii="Verdana" w:hAnsi="Verdana" w:cstheme="minorHAnsi"/>
          <w:lang w:eastAsia="en-GB"/>
        </w:rPr>
        <w:t xml:space="preserve">use HERs to </w:t>
      </w:r>
      <w:r w:rsidRPr="00160C15">
        <w:rPr>
          <w:rFonts w:ascii="Verdana" w:hAnsi="Verdana" w:cstheme="minorHAnsi"/>
          <w:lang w:eastAsia="en-GB"/>
        </w:rPr>
        <w:t>monitor</w:t>
      </w:r>
      <w:r>
        <w:rPr>
          <w:rFonts w:ascii="Verdana" w:hAnsi="Verdana" w:cstheme="minorHAnsi"/>
          <w:lang w:eastAsia="en-GB"/>
        </w:rPr>
        <w:t xml:space="preserve"> and assess</w:t>
      </w:r>
      <w:r w:rsidRPr="00160C15">
        <w:rPr>
          <w:rFonts w:ascii="Verdana" w:hAnsi="Verdana" w:cstheme="minorHAnsi"/>
          <w:lang w:eastAsia="en-GB"/>
        </w:rPr>
        <w:t xml:space="preserve"> planning applications and developments within their respective local authorities.  Entries in to the HER database will flag up any po</w:t>
      </w:r>
      <w:r>
        <w:rPr>
          <w:rFonts w:ascii="Verdana" w:hAnsi="Verdana" w:cstheme="minorHAnsi"/>
          <w:lang w:eastAsia="en-GB"/>
        </w:rPr>
        <w:t>tential areas of historic interest to Development Control.</w:t>
      </w:r>
    </w:p>
    <w:p w14:paraId="7931B479" w14:textId="77777777" w:rsidR="002E1AF5" w:rsidRPr="00160C15" w:rsidRDefault="002E1AF5" w:rsidP="002E1AF5">
      <w:pPr>
        <w:pStyle w:val="NoSpacing"/>
        <w:numPr>
          <w:ilvl w:val="0"/>
          <w:numId w:val="7"/>
        </w:numPr>
        <w:rPr>
          <w:rFonts w:ascii="Verdana" w:hAnsi="Verdana" w:cstheme="minorHAnsi"/>
          <w:lang w:eastAsia="en-GB"/>
        </w:rPr>
      </w:pPr>
      <w:r w:rsidRPr="00266918">
        <w:rPr>
          <w:rFonts w:ascii="Verdana" w:hAnsi="Verdana" w:cstheme="minorHAnsi"/>
          <w:b/>
          <w:lang w:eastAsia="en-GB"/>
        </w:rPr>
        <w:t>Conservation Officers</w:t>
      </w:r>
      <w:r>
        <w:rPr>
          <w:rFonts w:ascii="Verdana" w:hAnsi="Verdana" w:cstheme="minorHAnsi"/>
          <w:lang w:eastAsia="en-GB"/>
        </w:rPr>
        <w:t xml:space="preserve"> </w:t>
      </w:r>
      <w:r w:rsidRPr="00160C15">
        <w:rPr>
          <w:rFonts w:ascii="Verdana" w:hAnsi="Verdana" w:cstheme="minorHAnsi"/>
          <w:lang w:eastAsia="en-GB"/>
        </w:rPr>
        <w:t>are also start</w:t>
      </w:r>
      <w:r>
        <w:rPr>
          <w:rFonts w:ascii="Verdana" w:hAnsi="Verdana" w:cstheme="minorHAnsi"/>
          <w:lang w:eastAsia="en-GB"/>
        </w:rPr>
        <w:t>ing to use HERs in a similar way, a</w:t>
      </w:r>
      <w:r w:rsidRPr="00160C15">
        <w:rPr>
          <w:rFonts w:ascii="Verdana" w:hAnsi="Verdana" w:cstheme="minorHAnsi"/>
          <w:lang w:eastAsia="en-GB"/>
        </w:rPr>
        <w:t>s more and more built heritage</w:t>
      </w:r>
      <w:r>
        <w:rPr>
          <w:rFonts w:ascii="Verdana" w:hAnsi="Verdana" w:cstheme="minorHAnsi"/>
          <w:lang w:eastAsia="en-GB"/>
        </w:rPr>
        <w:t xml:space="preserve"> features get added to the HER.</w:t>
      </w:r>
    </w:p>
    <w:p w14:paraId="02E57814" w14:textId="77777777" w:rsidR="002E1AF5" w:rsidRPr="00160C15" w:rsidRDefault="002E1AF5" w:rsidP="002E1AF5">
      <w:pPr>
        <w:pStyle w:val="NoSpacing"/>
        <w:numPr>
          <w:ilvl w:val="0"/>
          <w:numId w:val="7"/>
        </w:numPr>
        <w:rPr>
          <w:rFonts w:ascii="Verdana" w:hAnsi="Verdana" w:cstheme="minorHAnsi"/>
          <w:lang w:eastAsia="en-GB"/>
        </w:rPr>
      </w:pPr>
      <w:r w:rsidRPr="00266918">
        <w:rPr>
          <w:rFonts w:ascii="Verdana" w:hAnsi="Verdana" w:cstheme="minorHAnsi"/>
          <w:b/>
          <w:lang w:eastAsia="en-GB"/>
        </w:rPr>
        <w:t>Archaeological contractors and heritage consultants</w:t>
      </w:r>
      <w:r w:rsidRPr="00160C15">
        <w:rPr>
          <w:rFonts w:ascii="Verdana" w:hAnsi="Verdana" w:cstheme="minorHAnsi"/>
          <w:lang w:eastAsia="en-GB"/>
        </w:rPr>
        <w:t xml:space="preserve"> often use HERs as a first port of call for desk-based research, to inform investigations that are required as planning conditions.</w:t>
      </w:r>
    </w:p>
    <w:p w14:paraId="383C3CF5" w14:textId="77777777" w:rsidR="002E1AF5" w:rsidRPr="00160C15" w:rsidRDefault="002E1AF5" w:rsidP="002E1AF5">
      <w:pPr>
        <w:pStyle w:val="NoSpacing"/>
        <w:ind w:left="720"/>
        <w:rPr>
          <w:rFonts w:ascii="Verdana" w:hAnsi="Verdana"/>
        </w:rPr>
      </w:pPr>
    </w:p>
    <w:p w14:paraId="79FB447E" w14:textId="77777777" w:rsidR="002E1AF5" w:rsidRPr="002E1AF5" w:rsidRDefault="002E1AF5" w:rsidP="002E1AF5">
      <w:pPr>
        <w:pStyle w:val="NoSpacing"/>
        <w:rPr>
          <w:rFonts w:ascii="Verdana" w:hAnsi="Verdana"/>
          <w:b/>
          <w:sz w:val="24"/>
          <w:szCs w:val="24"/>
        </w:rPr>
      </w:pPr>
      <w:r w:rsidRPr="002E1AF5">
        <w:rPr>
          <w:rFonts w:ascii="Verdana" w:hAnsi="Verdana"/>
          <w:b/>
          <w:sz w:val="24"/>
          <w:szCs w:val="24"/>
        </w:rPr>
        <w:t>What do HERs contain?</w:t>
      </w:r>
    </w:p>
    <w:p w14:paraId="377F7D2D" w14:textId="77777777" w:rsidR="002E1AF5" w:rsidRPr="004327FA" w:rsidRDefault="002E1AF5" w:rsidP="002E1AF5">
      <w:pPr>
        <w:pStyle w:val="NoSpacing"/>
        <w:rPr>
          <w:rFonts w:ascii="Verdana" w:hAnsi="Verdana"/>
        </w:rPr>
      </w:pPr>
      <w:r w:rsidRPr="00160C15">
        <w:rPr>
          <w:rFonts w:ascii="Verdana" w:hAnsi="Verdana"/>
        </w:rPr>
        <w:t>HERs contain information on everything from the Palaeolithic era right through to the 20</w:t>
      </w:r>
      <w:r w:rsidRPr="00160C15">
        <w:rPr>
          <w:rFonts w:ascii="Verdana" w:hAnsi="Verdana"/>
          <w:vertAlign w:val="superscript"/>
        </w:rPr>
        <w:t>th</w:t>
      </w:r>
      <w:r w:rsidRPr="00160C15">
        <w:rPr>
          <w:rFonts w:ascii="Verdana" w:hAnsi="Verdana"/>
        </w:rPr>
        <w:t xml:space="preserve"> century; including:</w:t>
      </w:r>
      <w:r w:rsidRPr="004327FA">
        <w:rPr>
          <w:rFonts w:ascii="Verdana" w:hAnsi="Verdana"/>
          <w:b/>
        </w:rPr>
        <w:t xml:space="preserve"> </w:t>
      </w:r>
    </w:p>
    <w:p w14:paraId="30F1F44D" w14:textId="32A6B1B2" w:rsidR="002E1AF5" w:rsidRPr="004327FA" w:rsidRDefault="002E1AF5" w:rsidP="002E1AF5">
      <w:pPr>
        <w:pStyle w:val="NoSpacing"/>
        <w:numPr>
          <w:ilvl w:val="0"/>
          <w:numId w:val="2"/>
        </w:numPr>
        <w:rPr>
          <w:rFonts w:ascii="Verdana" w:hAnsi="Verdana"/>
        </w:rPr>
      </w:pPr>
      <w:r w:rsidRPr="00CA03C8">
        <w:rPr>
          <w:rFonts w:ascii="Verdana" w:hAnsi="Verdana" w:cs="Verdana"/>
          <w:b/>
          <w:noProof/>
          <w:color w:val="FF0000"/>
          <w:sz w:val="28"/>
          <w:szCs w:val="28"/>
          <w:vertAlign w:val="subscript"/>
          <w:lang w:eastAsia="en-GB"/>
        </w:rPr>
        <w:drawing>
          <wp:anchor distT="0" distB="0" distL="114300" distR="114300" simplePos="0" relativeHeight="251665920" behindDoc="1" locked="0" layoutInCell="1" allowOverlap="1" wp14:anchorId="1B2E6928" wp14:editId="60A529B7">
            <wp:simplePos x="0" y="0"/>
            <wp:positionH relativeFrom="column">
              <wp:posOffset>-1168400</wp:posOffset>
            </wp:positionH>
            <wp:positionV relativeFrom="paragraph">
              <wp:posOffset>4330065</wp:posOffset>
            </wp:positionV>
            <wp:extent cx="7683504" cy="10868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160C15">
        <w:rPr>
          <w:rFonts w:ascii="Verdana" w:hAnsi="Verdana"/>
          <w:b/>
        </w:rPr>
        <w:t>Designated heritage assets</w:t>
      </w:r>
      <w:r w:rsidRPr="00160C15">
        <w:rPr>
          <w:rFonts w:ascii="Verdana" w:hAnsi="Verdana"/>
        </w:rPr>
        <w:t xml:space="preserve">, such as </w:t>
      </w:r>
      <w:r>
        <w:rPr>
          <w:rFonts w:ascii="Verdana" w:hAnsi="Verdana"/>
        </w:rPr>
        <w:t xml:space="preserve">sites on the Register of Parks and Gardens of Special Historic Interest, </w:t>
      </w:r>
      <w:r w:rsidRPr="00160C15">
        <w:rPr>
          <w:rFonts w:ascii="Verdana" w:hAnsi="Verdana"/>
        </w:rPr>
        <w:t xml:space="preserve">Scheduled Monuments and Listed Buildings. The National Heritage List for England, which is maintained by Historic England, is the definitive list for designated heritage assets and can be accessed via this web link: </w:t>
      </w:r>
      <w:hyperlink r:id="rId9" w:history="1">
        <w:r w:rsidRPr="00160C15">
          <w:rPr>
            <w:rStyle w:val="Hyperlink"/>
            <w:rFonts w:ascii="Verdana" w:hAnsi="Verdana"/>
          </w:rPr>
          <w:t>http://www.historicengland.org.uk/listing/the-list/</w:t>
        </w:r>
      </w:hyperlink>
      <w:r w:rsidRPr="00160C15">
        <w:rPr>
          <w:rFonts w:ascii="Verdana" w:hAnsi="Verdana"/>
        </w:rPr>
        <w:t xml:space="preserve">.  The HER can also hold additional information on these assets other than the list description.  </w:t>
      </w:r>
    </w:p>
    <w:p w14:paraId="4D35F65A" w14:textId="3FFBB861" w:rsidR="002E1AF5" w:rsidRPr="004327FA" w:rsidRDefault="002E1AF5" w:rsidP="002E1AF5">
      <w:pPr>
        <w:pStyle w:val="NoSpacing"/>
        <w:numPr>
          <w:ilvl w:val="0"/>
          <w:numId w:val="2"/>
        </w:numPr>
        <w:rPr>
          <w:rFonts w:ascii="Verdana" w:hAnsi="Verdana"/>
        </w:rPr>
      </w:pPr>
      <w:r w:rsidRPr="00CA03C8">
        <w:rPr>
          <w:rFonts w:ascii="Verdana" w:hAnsi="Verdana" w:cs="Verdana"/>
          <w:b/>
          <w:noProof/>
          <w:color w:val="FF0000"/>
          <w:sz w:val="28"/>
          <w:szCs w:val="28"/>
          <w:vertAlign w:val="subscript"/>
          <w:lang w:eastAsia="en-GB"/>
        </w:rPr>
        <w:lastRenderedPageBreak/>
        <w:drawing>
          <wp:anchor distT="0" distB="0" distL="114300" distR="114300" simplePos="0" relativeHeight="251667968" behindDoc="1" locked="0" layoutInCell="1" allowOverlap="1" wp14:anchorId="36DD3C5A" wp14:editId="3693BBEE">
            <wp:simplePos x="0" y="0"/>
            <wp:positionH relativeFrom="column">
              <wp:posOffset>-1219200</wp:posOffset>
            </wp:positionH>
            <wp:positionV relativeFrom="paragraph">
              <wp:posOffset>-812800</wp:posOffset>
            </wp:positionV>
            <wp:extent cx="7683504" cy="10868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160C15">
        <w:rPr>
          <w:rFonts w:ascii="Verdana" w:hAnsi="Verdana"/>
          <w:b/>
        </w:rPr>
        <w:t>Non-designated heritage assets</w:t>
      </w:r>
      <w:r w:rsidRPr="00160C15">
        <w:rPr>
          <w:rFonts w:ascii="Verdana" w:hAnsi="Verdana"/>
        </w:rPr>
        <w:t xml:space="preserve">, such as </w:t>
      </w:r>
      <w:r>
        <w:rPr>
          <w:rFonts w:ascii="Verdana" w:hAnsi="Verdana"/>
        </w:rPr>
        <w:t>unregistere</w:t>
      </w:r>
      <w:r w:rsidRPr="00160C15">
        <w:rPr>
          <w:rFonts w:ascii="Verdana" w:hAnsi="Verdana"/>
        </w:rPr>
        <w:t xml:space="preserve">d </w:t>
      </w:r>
      <w:r>
        <w:rPr>
          <w:rFonts w:ascii="Verdana" w:hAnsi="Verdana"/>
        </w:rPr>
        <w:t xml:space="preserve">historic designed landscapes, unlisted </w:t>
      </w:r>
      <w:r w:rsidRPr="00160C15">
        <w:rPr>
          <w:rFonts w:ascii="Verdana" w:hAnsi="Verdana"/>
        </w:rPr>
        <w:t>historic buildings, industrial heritage remains, guide posts, bridges and other assets that add to the historic character of an area.  These assets are considered to be locally or regionally important rather than nationally important</w:t>
      </w:r>
      <w:r>
        <w:rPr>
          <w:rFonts w:ascii="Verdana" w:hAnsi="Verdana"/>
        </w:rPr>
        <w:t>.</w:t>
      </w:r>
    </w:p>
    <w:p w14:paraId="2A38C65E" w14:textId="77777777" w:rsidR="002E1AF5" w:rsidRPr="00160C15" w:rsidRDefault="002E1AF5" w:rsidP="002E1AF5">
      <w:pPr>
        <w:pStyle w:val="NoSpacing"/>
        <w:numPr>
          <w:ilvl w:val="0"/>
          <w:numId w:val="2"/>
        </w:numPr>
        <w:rPr>
          <w:rFonts w:ascii="Verdana" w:hAnsi="Verdana"/>
        </w:rPr>
      </w:pPr>
      <w:r w:rsidRPr="00160C15">
        <w:rPr>
          <w:rFonts w:ascii="Verdana" w:hAnsi="Verdana"/>
          <w:b/>
        </w:rPr>
        <w:t>Conservation Areas and Locally Listed Buildings</w:t>
      </w:r>
      <w:r w:rsidRPr="00160C15">
        <w:rPr>
          <w:rFonts w:ascii="Verdana" w:hAnsi="Verdana"/>
        </w:rPr>
        <w:t xml:space="preserve">.  These datasets are created and managed by the relevant District Councils, but </w:t>
      </w:r>
      <w:r>
        <w:rPr>
          <w:rFonts w:ascii="Verdana" w:hAnsi="Verdana"/>
        </w:rPr>
        <w:t>the HER will also</w:t>
      </w:r>
      <w:r w:rsidRPr="00160C15">
        <w:rPr>
          <w:rFonts w:ascii="Verdana" w:hAnsi="Verdana"/>
        </w:rPr>
        <w:t xml:space="preserve"> ho</w:t>
      </w:r>
      <w:r>
        <w:rPr>
          <w:rFonts w:ascii="Verdana" w:hAnsi="Verdana"/>
        </w:rPr>
        <w:t>ld a copy of the data</w:t>
      </w:r>
      <w:r w:rsidRPr="00160C15">
        <w:rPr>
          <w:rFonts w:ascii="Verdana" w:hAnsi="Verdana"/>
        </w:rPr>
        <w:t xml:space="preserve">. </w:t>
      </w:r>
    </w:p>
    <w:p w14:paraId="5F1EDEA9" w14:textId="77777777" w:rsidR="002E1AF5" w:rsidRPr="004327FA" w:rsidRDefault="002E1AF5" w:rsidP="002E1AF5">
      <w:pPr>
        <w:pStyle w:val="NoSpacing"/>
        <w:numPr>
          <w:ilvl w:val="0"/>
          <w:numId w:val="2"/>
        </w:numPr>
        <w:rPr>
          <w:rFonts w:ascii="Verdana" w:hAnsi="Verdana"/>
        </w:rPr>
      </w:pPr>
      <w:r w:rsidRPr="00160C15">
        <w:rPr>
          <w:rFonts w:ascii="Verdana" w:hAnsi="Verdana"/>
          <w:b/>
        </w:rPr>
        <w:t>Buried archaeological remains.</w:t>
      </w:r>
      <w:r w:rsidRPr="00160C15">
        <w:rPr>
          <w:rFonts w:ascii="Verdana" w:hAnsi="Verdana"/>
        </w:rPr>
        <w:t xml:space="preserve">  </w:t>
      </w:r>
    </w:p>
    <w:p w14:paraId="3E50E36B" w14:textId="77777777" w:rsidR="002E1AF5" w:rsidRDefault="002E1AF5" w:rsidP="002E1AF5">
      <w:pPr>
        <w:pStyle w:val="NoSpacing"/>
        <w:numPr>
          <w:ilvl w:val="0"/>
          <w:numId w:val="2"/>
        </w:numPr>
        <w:rPr>
          <w:rFonts w:ascii="Verdana" w:hAnsi="Verdana"/>
        </w:rPr>
      </w:pPr>
      <w:r w:rsidRPr="00160C15">
        <w:rPr>
          <w:rFonts w:ascii="Verdana" w:hAnsi="Verdana"/>
          <w:b/>
        </w:rPr>
        <w:t>Upstanding earthworks and cropmark sites</w:t>
      </w:r>
      <w:r>
        <w:rPr>
          <w:rFonts w:ascii="Verdana" w:hAnsi="Verdana"/>
        </w:rPr>
        <w:t>.</w:t>
      </w:r>
    </w:p>
    <w:p w14:paraId="406B0B5E" w14:textId="77777777" w:rsidR="002E1AF5" w:rsidRPr="00266918" w:rsidRDefault="002E1AF5" w:rsidP="002E1AF5">
      <w:pPr>
        <w:pStyle w:val="NoSpacing"/>
        <w:numPr>
          <w:ilvl w:val="0"/>
          <w:numId w:val="2"/>
        </w:numPr>
        <w:rPr>
          <w:rFonts w:ascii="Verdana" w:hAnsi="Verdana"/>
          <w:b/>
        </w:rPr>
      </w:pPr>
      <w:r w:rsidRPr="00160C15">
        <w:rPr>
          <w:rFonts w:ascii="Verdana" w:hAnsi="Verdana"/>
          <w:b/>
        </w:rPr>
        <w:t>Archaeological events</w:t>
      </w:r>
      <w:r>
        <w:rPr>
          <w:rFonts w:ascii="Verdana" w:hAnsi="Verdana"/>
          <w:b/>
        </w:rPr>
        <w:t xml:space="preserve">. </w:t>
      </w:r>
      <w:r w:rsidRPr="00266918">
        <w:rPr>
          <w:rFonts w:ascii="Verdana" w:eastAsia="Times New Roman" w:hAnsi="Verdana"/>
          <w:color w:val="000000"/>
          <w:lang w:eastAsia="en-GB"/>
        </w:rPr>
        <w:t xml:space="preserve">In addition, </w:t>
      </w:r>
      <w:proofErr w:type="gramStart"/>
      <w:r w:rsidRPr="00266918">
        <w:rPr>
          <w:rFonts w:ascii="Verdana" w:eastAsia="Times New Roman" w:hAnsi="Verdana"/>
          <w:color w:val="000000"/>
          <w:lang w:eastAsia="en-GB"/>
        </w:rPr>
        <w:t>HERs</w:t>
      </w:r>
      <w:proofErr w:type="gramEnd"/>
      <w:r w:rsidRPr="00266918">
        <w:rPr>
          <w:rFonts w:ascii="Verdana" w:eastAsia="Times New Roman" w:hAnsi="Verdana"/>
          <w:color w:val="000000"/>
          <w:lang w:eastAsia="en-GB"/>
        </w:rPr>
        <w:t xml:space="preserve"> contain detailed information on archaeological events that have occurred in the county, such as excavations, watching briefs, historic building recording, and desk-based assessments. </w:t>
      </w:r>
    </w:p>
    <w:p w14:paraId="659FE791" w14:textId="77777777" w:rsidR="002E1AF5" w:rsidRPr="002E1AF5" w:rsidRDefault="002E1AF5" w:rsidP="002E1AF5">
      <w:pPr>
        <w:pStyle w:val="NoSpacing"/>
        <w:rPr>
          <w:rFonts w:ascii="Verdana" w:hAnsi="Verdana"/>
          <w:sz w:val="28"/>
          <w:szCs w:val="28"/>
        </w:rPr>
      </w:pPr>
    </w:p>
    <w:p w14:paraId="42839E63" w14:textId="77777777" w:rsidR="002E1AF5" w:rsidRPr="002E1AF5" w:rsidRDefault="002E1AF5" w:rsidP="002E1AF5">
      <w:pPr>
        <w:pStyle w:val="NoSpacing"/>
        <w:rPr>
          <w:rFonts w:ascii="Verdana" w:hAnsi="Verdana"/>
          <w:b/>
          <w:sz w:val="24"/>
          <w:szCs w:val="24"/>
        </w:rPr>
      </w:pPr>
      <w:r w:rsidRPr="002E1AF5">
        <w:rPr>
          <w:rFonts w:ascii="Verdana" w:hAnsi="Verdana"/>
          <w:b/>
          <w:sz w:val="24"/>
          <w:szCs w:val="24"/>
        </w:rPr>
        <w:t>How does material get onto HERs?</w:t>
      </w:r>
    </w:p>
    <w:p w14:paraId="4E600758" w14:textId="77777777" w:rsidR="002E1AF5" w:rsidRDefault="002E1AF5" w:rsidP="002E1AF5">
      <w:pPr>
        <w:pStyle w:val="NoSpacing"/>
        <w:numPr>
          <w:ilvl w:val="0"/>
          <w:numId w:val="4"/>
        </w:numPr>
        <w:rPr>
          <w:rFonts w:ascii="Verdana" w:eastAsia="Times New Roman" w:hAnsi="Verdana"/>
          <w:color w:val="000000"/>
          <w:lang w:eastAsia="en-GB"/>
        </w:rPr>
      </w:pPr>
      <w:r w:rsidRPr="00791F96">
        <w:rPr>
          <w:rFonts w:ascii="Verdana" w:eastAsia="Times New Roman" w:hAnsi="Verdana"/>
          <w:b/>
          <w:color w:val="000000"/>
          <w:lang w:eastAsia="en-GB"/>
        </w:rPr>
        <w:t>The planning process</w:t>
      </w:r>
      <w:r>
        <w:rPr>
          <w:rFonts w:ascii="Verdana" w:eastAsia="Times New Roman" w:hAnsi="Verdana"/>
          <w:color w:val="000000"/>
          <w:lang w:eastAsia="en-GB"/>
        </w:rPr>
        <w:t xml:space="preserve"> often requires research or archaeological investigation into a site (known as ‘archaeological events’), and the results of this are deposited with the HER.</w:t>
      </w:r>
    </w:p>
    <w:p w14:paraId="55068A77" w14:textId="77777777" w:rsidR="002E1AF5" w:rsidRPr="00791F96" w:rsidRDefault="002E1AF5" w:rsidP="002E1AF5">
      <w:pPr>
        <w:pStyle w:val="NoSpacing"/>
        <w:numPr>
          <w:ilvl w:val="0"/>
          <w:numId w:val="4"/>
        </w:numPr>
        <w:rPr>
          <w:rFonts w:ascii="Verdana" w:eastAsia="Times New Roman" w:hAnsi="Verdana"/>
          <w:color w:val="000000"/>
          <w:lang w:eastAsia="en-GB"/>
        </w:rPr>
      </w:pPr>
      <w:r w:rsidRPr="008F7EE3">
        <w:rPr>
          <w:rFonts w:ascii="Verdana" w:eastAsia="Times New Roman" w:hAnsi="Verdana"/>
          <w:b/>
          <w:color w:val="000000"/>
          <w:lang w:eastAsia="en-GB"/>
        </w:rPr>
        <w:t>Local societies and research groups such as County Gardens Trusts</w:t>
      </w:r>
      <w:r>
        <w:rPr>
          <w:rFonts w:ascii="Verdana" w:eastAsia="Times New Roman" w:hAnsi="Verdana"/>
          <w:color w:val="000000"/>
          <w:lang w:eastAsia="en-GB"/>
        </w:rPr>
        <w:t>,</w:t>
      </w:r>
      <w:r w:rsidRPr="00160C15">
        <w:rPr>
          <w:rFonts w:ascii="Verdana" w:eastAsia="Times New Roman" w:hAnsi="Verdana"/>
          <w:color w:val="000000"/>
          <w:lang w:eastAsia="en-GB"/>
        </w:rPr>
        <w:t xml:space="preserve"> also make an important contribution to this library.  </w:t>
      </w:r>
    </w:p>
    <w:p w14:paraId="76FAECB7" w14:textId="77777777" w:rsidR="002E1AF5" w:rsidRPr="00160C15" w:rsidRDefault="002E1AF5" w:rsidP="002E1AF5">
      <w:pPr>
        <w:pStyle w:val="NoSpacing"/>
        <w:rPr>
          <w:rFonts w:ascii="Verdana" w:eastAsia="Times New Roman" w:hAnsi="Verdana"/>
          <w:b/>
          <w:color w:val="000000"/>
          <w:lang w:eastAsia="en-GB"/>
        </w:rPr>
      </w:pPr>
    </w:p>
    <w:p w14:paraId="1358217E" w14:textId="77777777" w:rsidR="002E1AF5" w:rsidRPr="002E1AF5" w:rsidRDefault="002E1AF5" w:rsidP="002E1AF5">
      <w:pPr>
        <w:pStyle w:val="NoSpacing"/>
        <w:rPr>
          <w:rFonts w:ascii="Verdana" w:hAnsi="Verdana"/>
          <w:b/>
          <w:sz w:val="24"/>
          <w:szCs w:val="24"/>
          <w:lang w:eastAsia="en-GB"/>
        </w:rPr>
      </w:pPr>
      <w:r w:rsidRPr="002E1AF5">
        <w:rPr>
          <w:rFonts w:ascii="Verdana" w:hAnsi="Verdana"/>
          <w:b/>
          <w:sz w:val="24"/>
          <w:szCs w:val="24"/>
          <w:lang w:eastAsia="en-GB"/>
        </w:rPr>
        <w:t>Historic Landscape Characterisation</w:t>
      </w:r>
    </w:p>
    <w:p w14:paraId="37099FBD" w14:textId="77777777" w:rsidR="002E1AF5" w:rsidRPr="00160C15" w:rsidRDefault="002E1AF5" w:rsidP="002E1AF5">
      <w:pPr>
        <w:pStyle w:val="NoSpacing"/>
        <w:numPr>
          <w:ilvl w:val="0"/>
          <w:numId w:val="5"/>
        </w:numPr>
        <w:rPr>
          <w:rFonts w:ascii="Verdana" w:hAnsi="Verdana" w:cstheme="minorHAnsi"/>
          <w:lang w:eastAsia="en-GB"/>
        </w:rPr>
      </w:pPr>
      <w:r w:rsidRPr="00160C15">
        <w:rPr>
          <w:rFonts w:ascii="Verdana" w:hAnsi="Verdana" w:cstheme="minorHAnsi"/>
          <w:lang w:eastAsia="en-GB"/>
        </w:rPr>
        <w:t>HERs often contain information on Historic Landscape Characterisation projects, which aim to characterise and record landscapes on a broad, usually county-based, scale.</w:t>
      </w:r>
      <w:r w:rsidRPr="00160C15">
        <w:rPr>
          <w:rFonts w:ascii="Verdana" w:hAnsi="Verdana" w:cstheme="minorHAnsi"/>
          <w:color w:val="252525"/>
          <w:shd w:val="clear" w:color="auto" w:fill="FFFFFF"/>
        </w:rPr>
        <w:t xml:space="preserve">  Types of landscape are characterised based on the way in which they were formed, their current and earlier land uses, and their physical appearance.</w:t>
      </w:r>
    </w:p>
    <w:p w14:paraId="0741DBA6" w14:textId="77777777" w:rsidR="002E1AF5" w:rsidRPr="00160C15" w:rsidRDefault="002E1AF5" w:rsidP="002E1AF5">
      <w:pPr>
        <w:pStyle w:val="NoSpacing"/>
        <w:numPr>
          <w:ilvl w:val="0"/>
          <w:numId w:val="5"/>
        </w:numPr>
        <w:rPr>
          <w:rFonts w:ascii="Verdana" w:hAnsi="Verdana" w:cstheme="minorHAnsi"/>
          <w:lang w:eastAsia="en-GB"/>
        </w:rPr>
      </w:pPr>
      <w:r w:rsidRPr="00160C15">
        <w:rPr>
          <w:rFonts w:ascii="Verdana" w:hAnsi="Verdana" w:cstheme="minorHAnsi"/>
          <w:shd w:val="clear" w:color="auto" w:fill="FFFFFF"/>
        </w:rPr>
        <w:t>HLC projects</w:t>
      </w:r>
      <w:r w:rsidRPr="00160C15">
        <w:rPr>
          <w:rStyle w:val="apple-converted-space"/>
          <w:rFonts w:ascii="Verdana" w:hAnsi="Verdana" w:cstheme="minorHAnsi"/>
          <w:shd w:val="clear" w:color="auto" w:fill="FFFFFF"/>
        </w:rPr>
        <w:t> </w:t>
      </w:r>
      <w:r w:rsidRPr="00160C15">
        <w:rPr>
          <w:rFonts w:ascii="Verdana" w:hAnsi="Verdana" w:cstheme="minorHAnsi"/>
          <w:shd w:val="clear" w:color="auto" w:fill="FFFFFF"/>
        </w:rPr>
        <w:t xml:space="preserve">recognise that the landscape itself can be of historic importance (in addition to historic features within it).  Interpreting and recording the historic character of a landscape is intended to allow the landscape itself to be managed and protected within the </w:t>
      </w:r>
      <w:hyperlink r:id="rId10" w:tooltip="Town and country planning in the United Kingdom" w:history="1">
        <w:r w:rsidRPr="00A61634">
          <w:rPr>
            <w:rFonts w:ascii="Verdana" w:hAnsi="Verdana"/>
          </w:rPr>
          <w:t>planning</w:t>
        </w:r>
      </w:hyperlink>
      <w:r w:rsidRPr="00160C15">
        <w:rPr>
          <w:rStyle w:val="apple-converted-space"/>
          <w:rFonts w:ascii="Verdana" w:hAnsi="Verdana" w:cstheme="minorHAnsi"/>
          <w:shd w:val="clear" w:color="auto" w:fill="FFFFFF"/>
        </w:rPr>
        <w:t> </w:t>
      </w:r>
      <w:r w:rsidRPr="00160C15">
        <w:rPr>
          <w:rFonts w:ascii="Verdana" w:hAnsi="Verdana" w:cstheme="minorHAnsi"/>
          <w:shd w:val="clear" w:color="auto" w:fill="FFFFFF"/>
        </w:rPr>
        <w:t>process.</w:t>
      </w:r>
    </w:p>
    <w:p w14:paraId="04941572" w14:textId="77777777" w:rsidR="002E1AF5" w:rsidRPr="00160C15" w:rsidRDefault="002E1AF5" w:rsidP="002E1AF5">
      <w:pPr>
        <w:pStyle w:val="NoSpacing"/>
        <w:numPr>
          <w:ilvl w:val="0"/>
          <w:numId w:val="5"/>
        </w:numPr>
        <w:rPr>
          <w:rFonts w:ascii="Verdana" w:hAnsi="Verdana" w:cstheme="minorHAnsi"/>
          <w:lang w:eastAsia="en-GB"/>
        </w:rPr>
      </w:pPr>
      <w:r w:rsidRPr="00160C15">
        <w:rPr>
          <w:rFonts w:ascii="Verdana" w:hAnsi="Verdana" w:cstheme="minorHAnsi"/>
          <w:shd w:val="clear" w:color="auto" w:fill="FFFFFF"/>
        </w:rPr>
        <w:t>Can also be used on a more strategic level.</w:t>
      </w:r>
    </w:p>
    <w:p w14:paraId="40077B59" w14:textId="5C9D5D32" w:rsidR="002E1AF5" w:rsidRDefault="002E1AF5" w:rsidP="002E1AF5">
      <w:pPr>
        <w:pStyle w:val="NoSpacing"/>
        <w:rPr>
          <w:rFonts w:ascii="Verdana" w:hAnsi="Verdana" w:cstheme="minorHAnsi"/>
          <w:b/>
          <w:sz w:val="24"/>
          <w:szCs w:val="24"/>
          <w:lang w:eastAsia="en-GB"/>
        </w:rPr>
      </w:pPr>
    </w:p>
    <w:p w14:paraId="1C0D28CC" w14:textId="3FE2E796" w:rsidR="002E1AF5" w:rsidRDefault="002E1AF5" w:rsidP="002E1AF5">
      <w:pPr>
        <w:pStyle w:val="NoSpacing"/>
        <w:rPr>
          <w:rFonts w:ascii="Verdana" w:hAnsi="Verdana" w:cstheme="minorHAnsi"/>
          <w:b/>
          <w:sz w:val="24"/>
          <w:szCs w:val="24"/>
          <w:lang w:eastAsia="en-GB"/>
        </w:rPr>
      </w:pPr>
    </w:p>
    <w:p w14:paraId="7EDB3849" w14:textId="01088449" w:rsidR="002E1AF5" w:rsidRDefault="002E1AF5" w:rsidP="002E1AF5">
      <w:pPr>
        <w:pStyle w:val="NoSpacing"/>
        <w:rPr>
          <w:rFonts w:ascii="Verdana" w:hAnsi="Verdana" w:cstheme="minorHAnsi"/>
          <w:b/>
          <w:sz w:val="24"/>
          <w:szCs w:val="24"/>
          <w:lang w:eastAsia="en-GB"/>
        </w:rPr>
      </w:pPr>
    </w:p>
    <w:p w14:paraId="394B25E4" w14:textId="12F96D34" w:rsidR="002E1AF5" w:rsidRDefault="002E1AF5" w:rsidP="002E1AF5">
      <w:pPr>
        <w:pStyle w:val="NoSpacing"/>
        <w:rPr>
          <w:rFonts w:ascii="Verdana" w:hAnsi="Verdana" w:cstheme="minorHAnsi"/>
          <w:b/>
          <w:sz w:val="24"/>
          <w:szCs w:val="24"/>
          <w:lang w:eastAsia="en-GB"/>
        </w:rPr>
      </w:pPr>
    </w:p>
    <w:p w14:paraId="05DF2169" w14:textId="415CF339" w:rsidR="002E1AF5" w:rsidRDefault="002E1AF5" w:rsidP="002E1AF5">
      <w:pPr>
        <w:pStyle w:val="NoSpacing"/>
        <w:rPr>
          <w:rFonts w:ascii="Verdana" w:hAnsi="Verdana" w:cstheme="minorHAnsi"/>
          <w:b/>
          <w:sz w:val="24"/>
          <w:szCs w:val="24"/>
          <w:lang w:eastAsia="en-GB"/>
        </w:rPr>
      </w:pPr>
    </w:p>
    <w:p w14:paraId="25EB9F1C" w14:textId="77777777" w:rsidR="002E1AF5" w:rsidRDefault="002E1AF5" w:rsidP="002E1AF5">
      <w:pPr>
        <w:pStyle w:val="NoSpacing"/>
        <w:rPr>
          <w:rFonts w:ascii="Verdana" w:hAnsi="Verdana" w:cstheme="minorHAnsi"/>
          <w:b/>
          <w:sz w:val="24"/>
          <w:szCs w:val="24"/>
          <w:lang w:eastAsia="en-GB"/>
        </w:rPr>
      </w:pPr>
      <w:bookmarkStart w:id="1" w:name="_GoBack"/>
      <w:bookmarkEnd w:id="1"/>
    </w:p>
    <w:p w14:paraId="243BB908" w14:textId="3F69FBD1" w:rsidR="002E1AF5" w:rsidRDefault="002E1AF5" w:rsidP="002E1AF5">
      <w:pPr>
        <w:pStyle w:val="NoSpacing"/>
        <w:rPr>
          <w:rFonts w:ascii="Verdana" w:hAnsi="Verdana" w:cstheme="minorHAnsi"/>
          <w:b/>
          <w:sz w:val="24"/>
          <w:szCs w:val="24"/>
          <w:lang w:eastAsia="en-GB"/>
        </w:rPr>
      </w:pPr>
      <w:r w:rsidRPr="00CA03C8">
        <w:rPr>
          <w:rFonts w:ascii="Verdana" w:hAnsi="Verdana" w:cs="Verdana"/>
          <w:b/>
          <w:noProof/>
          <w:color w:val="FF0000"/>
          <w:sz w:val="28"/>
          <w:szCs w:val="28"/>
          <w:vertAlign w:val="subscript"/>
          <w:lang w:eastAsia="en-GB"/>
        </w:rPr>
        <w:drawing>
          <wp:anchor distT="0" distB="0" distL="114300" distR="114300" simplePos="0" relativeHeight="251670016" behindDoc="1" locked="0" layoutInCell="1" allowOverlap="1" wp14:anchorId="7A4B451F" wp14:editId="56873E17">
            <wp:simplePos x="0" y="0"/>
            <wp:positionH relativeFrom="column">
              <wp:posOffset>-1143000</wp:posOffset>
            </wp:positionH>
            <wp:positionV relativeFrom="paragraph">
              <wp:posOffset>3074670</wp:posOffset>
            </wp:positionV>
            <wp:extent cx="7683504" cy="108680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p>
    <w:p w14:paraId="7A13E35D" w14:textId="199557FD" w:rsidR="002E1AF5" w:rsidRPr="002E1AF5" w:rsidRDefault="002E1AF5" w:rsidP="002E1AF5">
      <w:pPr>
        <w:pStyle w:val="NoSpacing"/>
        <w:rPr>
          <w:rFonts w:ascii="Verdana" w:hAnsi="Verdana" w:cstheme="minorHAnsi"/>
          <w:b/>
          <w:sz w:val="24"/>
          <w:szCs w:val="24"/>
        </w:rPr>
      </w:pPr>
      <w:r w:rsidRPr="002E1AF5">
        <w:rPr>
          <w:rFonts w:ascii="Verdana" w:hAnsi="Verdana" w:cstheme="minorHAnsi"/>
          <w:b/>
          <w:sz w:val="24"/>
          <w:szCs w:val="24"/>
        </w:rPr>
        <w:lastRenderedPageBreak/>
        <w:t>Heritage Gateway</w:t>
      </w:r>
    </w:p>
    <w:p w14:paraId="68066569" w14:textId="115D3F95" w:rsidR="002E1AF5" w:rsidRPr="00160C15" w:rsidRDefault="002E1AF5" w:rsidP="002E1AF5">
      <w:pPr>
        <w:pStyle w:val="NoSpacing"/>
        <w:numPr>
          <w:ilvl w:val="0"/>
          <w:numId w:val="3"/>
        </w:numPr>
        <w:rPr>
          <w:rFonts w:ascii="Verdana" w:hAnsi="Verdana" w:cstheme="minorHAnsi"/>
        </w:rPr>
      </w:pPr>
      <w:r w:rsidRPr="00CA03C8">
        <w:rPr>
          <w:rFonts w:ascii="Verdana" w:hAnsi="Verdana" w:cs="Verdana"/>
          <w:b/>
          <w:noProof/>
          <w:color w:val="FF0000"/>
          <w:sz w:val="28"/>
          <w:szCs w:val="28"/>
          <w:vertAlign w:val="subscript"/>
          <w:lang w:eastAsia="en-GB"/>
        </w:rPr>
        <w:drawing>
          <wp:anchor distT="0" distB="0" distL="114300" distR="114300" simplePos="0" relativeHeight="251672064" behindDoc="1" locked="0" layoutInCell="1" allowOverlap="1" wp14:anchorId="4E86E7CC" wp14:editId="1E7413B9">
            <wp:simplePos x="0" y="0"/>
            <wp:positionH relativeFrom="column">
              <wp:posOffset>-1143000</wp:posOffset>
            </wp:positionH>
            <wp:positionV relativeFrom="paragraph">
              <wp:posOffset>-811524</wp:posOffset>
            </wp:positionV>
            <wp:extent cx="7683504" cy="10868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160C15">
        <w:rPr>
          <w:rFonts w:ascii="Verdana" w:hAnsi="Verdana" w:cstheme="minorHAnsi"/>
        </w:rPr>
        <w:t>Information on these Historic Environment sites is held in a digital relational database, with accompanying spatial information allowing the records to be viewed on digital maps.</w:t>
      </w:r>
    </w:p>
    <w:p w14:paraId="586D6C72" w14:textId="77777777" w:rsidR="002E1AF5" w:rsidRPr="00160C15" w:rsidRDefault="002E1AF5" w:rsidP="002E1AF5">
      <w:pPr>
        <w:pStyle w:val="NoSpacing"/>
        <w:numPr>
          <w:ilvl w:val="0"/>
          <w:numId w:val="3"/>
        </w:numPr>
        <w:rPr>
          <w:rFonts w:ascii="Verdana" w:hAnsi="Verdana" w:cstheme="minorHAnsi"/>
        </w:rPr>
      </w:pPr>
      <w:r w:rsidRPr="00160C15">
        <w:rPr>
          <w:rFonts w:ascii="Verdana" w:hAnsi="Verdana" w:cstheme="minorHAnsi"/>
        </w:rPr>
        <w:t>Much of this digital information can be accessed via the Heritage Gateway website</w:t>
      </w:r>
      <w:r>
        <w:rPr>
          <w:rFonts w:ascii="Verdana" w:hAnsi="Verdana" w:cstheme="minorHAnsi"/>
        </w:rPr>
        <w:t xml:space="preserve"> - </w:t>
      </w:r>
      <w:hyperlink r:id="rId11" w:history="1">
        <w:r w:rsidRPr="001E5B27">
          <w:rPr>
            <w:rStyle w:val="Hyperlink"/>
            <w:rFonts w:ascii="Verdana" w:hAnsi="Verdana" w:cstheme="minorHAnsi"/>
          </w:rPr>
          <w:t>http://www.heritagegateway.org.uk</w:t>
        </w:r>
      </w:hyperlink>
      <w:r>
        <w:rPr>
          <w:rFonts w:ascii="Verdana" w:hAnsi="Verdana" w:cstheme="minorHAnsi"/>
        </w:rPr>
        <w:t>,</w:t>
      </w:r>
      <w:r w:rsidRPr="00160C15">
        <w:rPr>
          <w:rFonts w:ascii="Verdana" w:hAnsi="Verdana" w:cstheme="minorHAnsi"/>
        </w:rPr>
        <w:t xml:space="preserve"> which is a resource that is maintained by Historic England and pulls together a variety of national, regional and local datasets in to one place.</w:t>
      </w:r>
    </w:p>
    <w:p w14:paraId="78E6428D" w14:textId="77777777" w:rsidR="002E1AF5" w:rsidRPr="002E1AF5" w:rsidRDefault="002E1AF5" w:rsidP="002E1AF5">
      <w:pPr>
        <w:pStyle w:val="NoSpacing"/>
        <w:rPr>
          <w:rFonts w:ascii="Verdana" w:hAnsi="Verdana" w:cstheme="minorHAnsi"/>
          <w:sz w:val="24"/>
          <w:szCs w:val="24"/>
          <w:lang w:eastAsia="en-GB"/>
        </w:rPr>
      </w:pPr>
    </w:p>
    <w:p w14:paraId="34942611" w14:textId="53249D2D" w:rsidR="002E1AF5" w:rsidRPr="002E1AF5" w:rsidRDefault="002E1AF5" w:rsidP="002E1AF5">
      <w:pPr>
        <w:pStyle w:val="NoSpacing"/>
        <w:rPr>
          <w:rFonts w:ascii="Verdana" w:hAnsi="Verdana" w:cstheme="minorHAnsi"/>
          <w:b/>
          <w:sz w:val="24"/>
          <w:szCs w:val="24"/>
          <w:lang w:eastAsia="en-GB"/>
        </w:rPr>
      </w:pPr>
      <w:r w:rsidRPr="002E1AF5">
        <w:rPr>
          <w:rFonts w:ascii="Verdana" w:hAnsi="Verdana" w:cstheme="minorHAnsi"/>
          <w:b/>
          <w:sz w:val="24"/>
          <w:szCs w:val="24"/>
          <w:lang w:eastAsia="en-GB"/>
        </w:rPr>
        <w:t>Contacting your local HER</w:t>
      </w:r>
    </w:p>
    <w:p w14:paraId="328523FB" w14:textId="77777777" w:rsidR="002E1AF5" w:rsidRPr="00160C15" w:rsidRDefault="002E1AF5" w:rsidP="002E1AF5">
      <w:pPr>
        <w:pStyle w:val="NoSpacing"/>
        <w:numPr>
          <w:ilvl w:val="0"/>
          <w:numId w:val="6"/>
        </w:numPr>
        <w:rPr>
          <w:rFonts w:ascii="Verdana" w:hAnsi="Verdana" w:cstheme="minorHAnsi"/>
          <w:lang w:eastAsia="en-GB"/>
        </w:rPr>
      </w:pPr>
      <w:r>
        <w:rPr>
          <w:rFonts w:ascii="Verdana" w:hAnsi="Verdana" w:cstheme="minorHAnsi"/>
          <w:lang w:eastAsia="en-GB"/>
        </w:rPr>
        <w:t>The</w:t>
      </w:r>
      <w:r w:rsidRPr="00160C15">
        <w:rPr>
          <w:rFonts w:ascii="Verdana" w:hAnsi="Verdana" w:cstheme="minorHAnsi"/>
          <w:lang w:eastAsia="en-GB"/>
        </w:rPr>
        <w:t xml:space="preserve"> best place to find out which HER covers a particular area is by checking on the Heritage Gateway website</w:t>
      </w:r>
      <w:r>
        <w:rPr>
          <w:rFonts w:ascii="Verdana" w:hAnsi="Verdana" w:cstheme="minorHAnsi"/>
          <w:lang w:eastAsia="en-GB"/>
        </w:rPr>
        <w:t xml:space="preserve"> - </w:t>
      </w:r>
      <w:hyperlink r:id="rId12" w:history="1">
        <w:r w:rsidRPr="001E5B27">
          <w:rPr>
            <w:rStyle w:val="Hyperlink"/>
            <w:rFonts w:ascii="Verdana" w:hAnsi="Verdana" w:cstheme="minorHAnsi"/>
            <w:lang w:eastAsia="en-GB"/>
          </w:rPr>
          <w:t>http://www.heritagegateway.org.uk</w:t>
        </w:r>
      </w:hyperlink>
      <w:r>
        <w:rPr>
          <w:rFonts w:ascii="Verdana" w:hAnsi="Verdana" w:cstheme="minorHAnsi"/>
          <w:lang w:eastAsia="en-GB"/>
        </w:rPr>
        <w:t xml:space="preserve"> </w:t>
      </w:r>
      <w:r w:rsidRPr="00160C15">
        <w:rPr>
          <w:rFonts w:ascii="Verdana" w:hAnsi="Verdana" w:cstheme="minorHAnsi"/>
          <w:lang w:eastAsia="en-GB"/>
        </w:rPr>
        <w:t xml:space="preserve"> </w:t>
      </w:r>
    </w:p>
    <w:p w14:paraId="38C22ACD" w14:textId="77777777" w:rsidR="002E1AF5" w:rsidRDefault="002E1AF5" w:rsidP="002E1AF5">
      <w:pPr>
        <w:pStyle w:val="NoSpacing"/>
        <w:numPr>
          <w:ilvl w:val="0"/>
          <w:numId w:val="6"/>
        </w:numPr>
        <w:rPr>
          <w:rFonts w:ascii="Verdana" w:hAnsi="Verdana" w:cstheme="minorHAnsi"/>
          <w:lang w:eastAsia="en-GB"/>
        </w:rPr>
      </w:pPr>
      <w:r>
        <w:rPr>
          <w:rFonts w:ascii="Verdana" w:hAnsi="Verdana" w:cstheme="minorHAnsi"/>
          <w:lang w:eastAsia="en-GB"/>
        </w:rPr>
        <w:t>At the Heritage Gateway</w:t>
      </w:r>
      <w:r w:rsidRPr="00160C15">
        <w:rPr>
          <w:rFonts w:ascii="Verdana" w:hAnsi="Verdana" w:cstheme="minorHAnsi"/>
          <w:lang w:eastAsia="en-GB"/>
        </w:rPr>
        <w:t xml:space="preserve"> you can find contact details and opening times of all the HERs in England.</w:t>
      </w:r>
    </w:p>
    <w:p w14:paraId="0BF0D36B" w14:textId="77777777" w:rsidR="002E1AF5" w:rsidRPr="00791F96" w:rsidRDefault="002E1AF5" w:rsidP="002E1AF5">
      <w:pPr>
        <w:pStyle w:val="NoSpacing"/>
        <w:numPr>
          <w:ilvl w:val="0"/>
          <w:numId w:val="6"/>
        </w:numPr>
        <w:rPr>
          <w:rFonts w:ascii="Verdana" w:hAnsi="Verdana" w:cstheme="minorHAnsi"/>
          <w:lang w:eastAsia="en-GB"/>
        </w:rPr>
      </w:pPr>
      <w:r>
        <w:rPr>
          <w:rFonts w:ascii="Verdana" w:hAnsi="Verdana" w:cstheme="minorHAnsi"/>
          <w:lang w:eastAsia="en-GB"/>
        </w:rPr>
        <w:t xml:space="preserve">Each HER is maintained by a Historic Environment Record Officer (HERO), and most of these are aware of County Gardens Trusts, through the profile-raising work of the Gardens Trust’s Historic Landscape Project Officers (HLPOs). The Heritage Gateway will give details of your HERO, or let the HLPOs know if you need help </w:t>
      </w:r>
      <w:proofErr w:type="gramStart"/>
      <w:r>
        <w:rPr>
          <w:rFonts w:ascii="Verdana" w:hAnsi="Verdana" w:cstheme="minorHAnsi"/>
          <w:lang w:eastAsia="en-GB"/>
        </w:rPr>
        <w:t>making contact with</w:t>
      </w:r>
      <w:proofErr w:type="gramEnd"/>
      <w:r>
        <w:rPr>
          <w:rFonts w:ascii="Verdana" w:hAnsi="Verdana" w:cstheme="minorHAnsi"/>
          <w:lang w:eastAsia="en-GB"/>
        </w:rPr>
        <w:t xml:space="preserve"> your HERO.</w:t>
      </w:r>
    </w:p>
    <w:p w14:paraId="30EB544A" w14:textId="77777777" w:rsidR="002E1AF5" w:rsidRPr="002E1AF5" w:rsidRDefault="002E1AF5" w:rsidP="002E1AF5">
      <w:pPr>
        <w:rPr>
          <w:rFonts w:ascii="Verdana" w:hAnsi="Verdana"/>
          <w:sz w:val="22"/>
          <w:szCs w:val="22"/>
        </w:rPr>
      </w:pPr>
    </w:p>
    <w:p w14:paraId="4F0D58FF" w14:textId="77777777" w:rsidR="002E1AF5" w:rsidRPr="002E1AF5" w:rsidRDefault="002E1AF5" w:rsidP="002E1AF5">
      <w:pPr>
        <w:rPr>
          <w:rFonts w:ascii="Verdana" w:hAnsi="Verdana"/>
          <w:sz w:val="22"/>
          <w:szCs w:val="22"/>
        </w:rPr>
      </w:pPr>
    </w:p>
    <w:p w14:paraId="4E1C1EBB" w14:textId="77777777" w:rsidR="002E1AF5" w:rsidRPr="002E1AF5" w:rsidRDefault="002E1AF5" w:rsidP="002E1AF5">
      <w:pPr>
        <w:rPr>
          <w:rFonts w:ascii="Verdana" w:hAnsi="Verdana"/>
          <w:sz w:val="22"/>
          <w:szCs w:val="22"/>
        </w:rPr>
      </w:pPr>
    </w:p>
    <w:p w14:paraId="27D3BB96" w14:textId="2864A742" w:rsidR="002E1AF5" w:rsidRPr="002E1AF5" w:rsidRDefault="002E1AF5" w:rsidP="002E1AF5">
      <w:pPr>
        <w:rPr>
          <w:rFonts w:ascii="Verdana" w:hAnsi="Verdana"/>
          <w:sz w:val="22"/>
          <w:szCs w:val="22"/>
        </w:rPr>
      </w:pPr>
      <w:r w:rsidRPr="002E1AF5">
        <w:rPr>
          <w:rFonts w:ascii="Verdana" w:hAnsi="Verdana"/>
          <w:sz w:val="22"/>
          <w:szCs w:val="22"/>
        </w:rPr>
        <w:t>The Gardens. Trust, Historic Landscape Project</w:t>
      </w:r>
    </w:p>
    <w:p w14:paraId="387169DE" w14:textId="7521BE70" w:rsidR="002E1AF5" w:rsidRPr="002E1AF5" w:rsidRDefault="002E1AF5" w:rsidP="002E1AF5">
      <w:pPr>
        <w:rPr>
          <w:rFonts w:ascii="Verdana" w:hAnsi="Verdana"/>
          <w:sz w:val="22"/>
          <w:szCs w:val="22"/>
        </w:rPr>
      </w:pPr>
      <w:r w:rsidRPr="002E1AF5">
        <w:rPr>
          <w:rFonts w:ascii="Verdana" w:hAnsi="Verdana"/>
          <w:sz w:val="22"/>
          <w:szCs w:val="22"/>
        </w:rPr>
        <w:t>October 2019</w:t>
      </w:r>
    </w:p>
    <w:p w14:paraId="0BFD7239" w14:textId="12108F8A" w:rsidR="00B72371" w:rsidRPr="002E1AF5" w:rsidRDefault="00476F7C" w:rsidP="001D4C03">
      <w:pPr>
        <w:rPr>
          <w:rFonts w:ascii="Verdana" w:hAnsi="Verdana" w:cs="Arial"/>
          <w:i/>
          <w:color w:val="000000" w:themeColor="text1"/>
          <w:sz w:val="20"/>
          <w:szCs w:val="20"/>
        </w:rPr>
      </w:pPr>
      <w:r w:rsidRPr="002E1AF5">
        <w:rPr>
          <w:rFonts w:ascii="Verdana" w:hAnsi="Verdana"/>
          <w:b/>
          <w:i/>
          <w:noProof/>
          <w:sz w:val="20"/>
          <w:szCs w:val="20"/>
          <w:lang w:val="en-GB" w:eastAsia="en-GB"/>
        </w:rPr>
        <w:drawing>
          <wp:anchor distT="0" distB="0" distL="114300" distR="114300" simplePos="0" relativeHeight="251661824" behindDoc="1" locked="0" layoutInCell="1" allowOverlap="1" wp14:anchorId="58DCBE45" wp14:editId="086589F2">
            <wp:simplePos x="0" y="0"/>
            <wp:positionH relativeFrom="column">
              <wp:posOffset>3775075</wp:posOffset>
            </wp:positionH>
            <wp:positionV relativeFrom="page">
              <wp:posOffset>8542321</wp:posOffset>
            </wp:positionV>
            <wp:extent cx="1785620" cy="661035"/>
            <wp:effectExtent l="0" t="0" r="5080" b="5715"/>
            <wp:wrapTight wrapText="bothSides">
              <wp:wrapPolygon edited="0">
                <wp:start x="0" y="0"/>
                <wp:lineTo x="0" y="21164"/>
                <wp:lineTo x="21431" y="21164"/>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andHeartRGB.JPG"/>
                    <pic:cNvPicPr/>
                  </pic:nvPicPr>
                  <pic:blipFill>
                    <a:blip r:embed="rId13"/>
                    <a:stretch>
                      <a:fillRect/>
                    </a:stretch>
                  </pic:blipFill>
                  <pic:spPr>
                    <a:xfrm>
                      <a:off x="0" y="0"/>
                      <a:ext cx="1785620" cy="661035"/>
                    </a:xfrm>
                    <a:prstGeom prst="rect">
                      <a:avLst/>
                    </a:prstGeom>
                  </pic:spPr>
                </pic:pic>
              </a:graphicData>
            </a:graphic>
            <wp14:sizeRelH relativeFrom="page">
              <wp14:pctWidth>0</wp14:pctWidth>
            </wp14:sizeRelH>
            <wp14:sizeRelV relativeFrom="page">
              <wp14:pctHeight>0</wp14:pctHeight>
            </wp14:sizeRelV>
          </wp:anchor>
        </w:drawing>
      </w:r>
      <w:r w:rsidRPr="002E1AF5">
        <w:rPr>
          <w:rFonts w:ascii="Verdana" w:hAnsi="Verdana"/>
          <w:b/>
          <w:i/>
          <w:noProof/>
          <w:sz w:val="20"/>
          <w:szCs w:val="20"/>
          <w:lang w:val="en-GB" w:eastAsia="en-GB"/>
        </w:rPr>
        <w:drawing>
          <wp:anchor distT="0" distB="0" distL="114300" distR="114300" simplePos="0" relativeHeight="251658752" behindDoc="1" locked="0" layoutInCell="1" allowOverlap="1" wp14:anchorId="7F8193DA" wp14:editId="180BDBE9">
            <wp:simplePos x="0" y="0"/>
            <wp:positionH relativeFrom="column">
              <wp:posOffset>1917065</wp:posOffset>
            </wp:positionH>
            <wp:positionV relativeFrom="page">
              <wp:posOffset>8578348</wp:posOffset>
            </wp:positionV>
            <wp:extent cx="1609725" cy="614680"/>
            <wp:effectExtent l="0" t="0" r="9525" b="0"/>
            <wp:wrapTight wrapText="bothSides">
              <wp:wrapPolygon edited="0">
                <wp:start x="0" y="0"/>
                <wp:lineTo x="0" y="20752"/>
                <wp:lineTo x="21472" y="20752"/>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LHLF_Mono_Logo_English_RGB_0_0.jpg"/>
                    <pic:cNvPicPr/>
                  </pic:nvPicPr>
                  <pic:blipFill>
                    <a:blip r:embed="rId14"/>
                    <a:stretch>
                      <a:fillRect/>
                    </a:stretch>
                  </pic:blipFill>
                  <pic:spPr>
                    <a:xfrm>
                      <a:off x="0" y="0"/>
                      <a:ext cx="1609725" cy="614680"/>
                    </a:xfrm>
                    <a:prstGeom prst="rect">
                      <a:avLst/>
                    </a:prstGeom>
                  </pic:spPr>
                </pic:pic>
              </a:graphicData>
            </a:graphic>
            <wp14:sizeRelH relativeFrom="page">
              <wp14:pctWidth>0</wp14:pctWidth>
            </wp14:sizeRelH>
            <wp14:sizeRelV relativeFrom="page">
              <wp14:pctHeight>0</wp14:pctHeight>
            </wp14:sizeRelV>
          </wp:anchor>
        </w:drawing>
      </w:r>
      <w:bookmarkEnd w:id="0"/>
    </w:p>
    <w:sectPr w:rsidR="00B72371" w:rsidRPr="002E1AF5" w:rsidSect="00B72371">
      <w:footerReference w:type="even" r:id="rId15"/>
      <w:footerReference w:type="default" r:id="rId16"/>
      <w:pgSz w:w="11900" w:h="16840"/>
      <w:pgMar w:top="1276" w:right="1410" w:bottom="411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1871B" w14:textId="77777777" w:rsidR="005C3B7F" w:rsidRDefault="005C3B7F" w:rsidP="00893E9C">
      <w:r>
        <w:separator/>
      </w:r>
    </w:p>
  </w:endnote>
  <w:endnote w:type="continuationSeparator" w:id="0">
    <w:p w14:paraId="6AA7D88D" w14:textId="77777777" w:rsidR="005C3B7F" w:rsidRDefault="005C3B7F" w:rsidP="0089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7DE6" w14:textId="77777777" w:rsidR="00BF5C53" w:rsidRDefault="00BF5C53" w:rsidP="00E5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EC363" w14:textId="77777777" w:rsidR="00BF5C53" w:rsidRDefault="00BF5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1A0D" w14:textId="2CAEAB82" w:rsidR="00BF5C53" w:rsidRDefault="00BF5C53" w:rsidP="00E5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6C8">
      <w:rPr>
        <w:rStyle w:val="PageNumber"/>
        <w:noProof/>
      </w:rPr>
      <w:t>1</w:t>
    </w:r>
    <w:r>
      <w:rPr>
        <w:rStyle w:val="PageNumber"/>
      </w:rPr>
      <w:fldChar w:fldCharType="end"/>
    </w:r>
  </w:p>
  <w:p w14:paraId="3DEA5FE8" w14:textId="77777777" w:rsidR="00BF5C53" w:rsidRDefault="00BF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AAD3" w14:textId="77777777" w:rsidR="005C3B7F" w:rsidRDefault="005C3B7F" w:rsidP="00893E9C">
      <w:r>
        <w:separator/>
      </w:r>
    </w:p>
  </w:footnote>
  <w:footnote w:type="continuationSeparator" w:id="0">
    <w:p w14:paraId="0B5A1F93" w14:textId="77777777" w:rsidR="005C3B7F" w:rsidRDefault="005C3B7F" w:rsidP="00893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AF4"/>
    <w:multiLevelType w:val="hybridMultilevel"/>
    <w:tmpl w:val="517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536F6"/>
    <w:multiLevelType w:val="hybridMultilevel"/>
    <w:tmpl w:val="66A8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7842"/>
    <w:multiLevelType w:val="hybridMultilevel"/>
    <w:tmpl w:val="82E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B432C"/>
    <w:multiLevelType w:val="hybridMultilevel"/>
    <w:tmpl w:val="2B7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818A9"/>
    <w:multiLevelType w:val="multilevel"/>
    <w:tmpl w:val="89563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4747B"/>
    <w:multiLevelType w:val="hybridMultilevel"/>
    <w:tmpl w:val="CF64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477E6"/>
    <w:multiLevelType w:val="hybridMultilevel"/>
    <w:tmpl w:val="04E4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9C"/>
    <w:rsid w:val="000766AF"/>
    <w:rsid w:val="000942CF"/>
    <w:rsid w:val="000F5F71"/>
    <w:rsid w:val="001606C8"/>
    <w:rsid w:val="00165A70"/>
    <w:rsid w:val="0017605C"/>
    <w:rsid w:val="0018405E"/>
    <w:rsid w:val="001D4C03"/>
    <w:rsid w:val="00213D3B"/>
    <w:rsid w:val="00271342"/>
    <w:rsid w:val="00286AC0"/>
    <w:rsid w:val="002B41AE"/>
    <w:rsid w:val="002D6BEA"/>
    <w:rsid w:val="002E1AF5"/>
    <w:rsid w:val="00316073"/>
    <w:rsid w:val="00336E6F"/>
    <w:rsid w:val="003612EC"/>
    <w:rsid w:val="003C2012"/>
    <w:rsid w:val="003F365F"/>
    <w:rsid w:val="00476F7C"/>
    <w:rsid w:val="00486B15"/>
    <w:rsid w:val="00533976"/>
    <w:rsid w:val="00537555"/>
    <w:rsid w:val="00537DBE"/>
    <w:rsid w:val="00572056"/>
    <w:rsid w:val="005C3B7F"/>
    <w:rsid w:val="005E350A"/>
    <w:rsid w:val="006E565A"/>
    <w:rsid w:val="00780B78"/>
    <w:rsid w:val="00782AA4"/>
    <w:rsid w:val="00793DE2"/>
    <w:rsid w:val="007C75F6"/>
    <w:rsid w:val="007D0B37"/>
    <w:rsid w:val="0082462E"/>
    <w:rsid w:val="00866265"/>
    <w:rsid w:val="00893E9C"/>
    <w:rsid w:val="008A6F16"/>
    <w:rsid w:val="008A7481"/>
    <w:rsid w:val="008B322A"/>
    <w:rsid w:val="008B430C"/>
    <w:rsid w:val="008D0ABF"/>
    <w:rsid w:val="009035E2"/>
    <w:rsid w:val="00937E20"/>
    <w:rsid w:val="0094797C"/>
    <w:rsid w:val="00993A0A"/>
    <w:rsid w:val="009A143A"/>
    <w:rsid w:val="009E3F76"/>
    <w:rsid w:val="00A226E6"/>
    <w:rsid w:val="00A531FE"/>
    <w:rsid w:val="00A560BE"/>
    <w:rsid w:val="00AC2824"/>
    <w:rsid w:val="00AD1241"/>
    <w:rsid w:val="00B259C0"/>
    <w:rsid w:val="00B359E0"/>
    <w:rsid w:val="00B529CD"/>
    <w:rsid w:val="00B56A30"/>
    <w:rsid w:val="00B57045"/>
    <w:rsid w:val="00B72371"/>
    <w:rsid w:val="00BF5C53"/>
    <w:rsid w:val="00BF7167"/>
    <w:rsid w:val="00C06B89"/>
    <w:rsid w:val="00C37F15"/>
    <w:rsid w:val="00C724F9"/>
    <w:rsid w:val="00C7393E"/>
    <w:rsid w:val="00C95C90"/>
    <w:rsid w:val="00CA03C8"/>
    <w:rsid w:val="00CA6668"/>
    <w:rsid w:val="00CF32D4"/>
    <w:rsid w:val="00D017E0"/>
    <w:rsid w:val="00DC7E76"/>
    <w:rsid w:val="00DF1706"/>
    <w:rsid w:val="00DF6024"/>
    <w:rsid w:val="00E554DA"/>
    <w:rsid w:val="00E74F75"/>
    <w:rsid w:val="00EA3A02"/>
    <w:rsid w:val="00EB22AC"/>
    <w:rsid w:val="00EB249C"/>
    <w:rsid w:val="00EC040C"/>
    <w:rsid w:val="00ED0C23"/>
    <w:rsid w:val="00ED79CC"/>
    <w:rsid w:val="00FC3254"/>
    <w:rsid w:val="00FE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A290B"/>
  <w14:defaultImageDpi w14:val="300"/>
  <w15:docId w15:val="{8A0723CE-E47A-4180-8EA5-29F17042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E9C"/>
    <w:pPr>
      <w:tabs>
        <w:tab w:val="center" w:pos="4320"/>
        <w:tab w:val="right" w:pos="8640"/>
      </w:tabs>
    </w:pPr>
  </w:style>
  <w:style w:type="character" w:customStyle="1" w:styleId="HeaderChar">
    <w:name w:val="Header Char"/>
    <w:basedOn w:val="DefaultParagraphFont"/>
    <w:link w:val="Header"/>
    <w:uiPriority w:val="99"/>
    <w:rsid w:val="00893E9C"/>
  </w:style>
  <w:style w:type="paragraph" w:styleId="Footer">
    <w:name w:val="footer"/>
    <w:basedOn w:val="Normal"/>
    <w:link w:val="FooterChar"/>
    <w:uiPriority w:val="99"/>
    <w:unhideWhenUsed/>
    <w:rsid w:val="00893E9C"/>
    <w:pPr>
      <w:tabs>
        <w:tab w:val="center" w:pos="4320"/>
        <w:tab w:val="right" w:pos="8640"/>
      </w:tabs>
    </w:pPr>
  </w:style>
  <w:style w:type="character" w:customStyle="1" w:styleId="FooterChar">
    <w:name w:val="Footer Char"/>
    <w:basedOn w:val="DefaultParagraphFont"/>
    <w:link w:val="Footer"/>
    <w:uiPriority w:val="99"/>
    <w:rsid w:val="00893E9C"/>
  </w:style>
  <w:style w:type="paragraph" w:styleId="BalloonText">
    <w:name w:val="Balloon Text"/>
    <w:basedOn w:val="Normal"/>
    <w:link w:val="BalloonTextChar"/>
    <w:uiPriority w:val="99"/>
    <w:semiHidden/>
    <w:unhideWhenUsed/>
    <w:rsid w:val="00893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E9C"/>
    <w:rPr>
      <w:rFonts w:ascii="Lucida Grande" w:hAnsi="Lucida Grande" w:cs="Lucida Grande"/>
      <w:sz w:val="18"/>
      <w:szCs w:val="18"/>
    </w:rPr>
  </w:style>
  <w:style w:type="character" w:styleId="PageNumber">
    <w:name w:val="page number"/>
    <w:basedOn w:val="DefaultParagraphFont"/>
    <w:uiPriority w:val="99"/>
    <w:semiHidden/>
    <w:unhideWhenUsed/>
    <w:rsid w:val="00DF6024"/>
  </w:style>
  <w:style w:type="character" w:styleId="Hyperlink">
    <w:name w:val="Hyperlink"/>
    <w:uiPriority w:val="99"/>
    <w:unhideWhenUsed/>
    <w:rsid w:val="002B41AE"/>
    <w:rPr>
      <w:color w:val="0000FF"/>
      <w:u w:val="single"/>
    </w:rPr>
  </w:style>
  <w:style w:type="character" w:customStyle="1" w:styleId="UnresolvedMention1">
    <w:name w:val="Unresolved Mention1"/>
    <w:basedOn w:val="DefaultParagraphFont"/>
    <w:uiPriority w:val="99"/>
    <w:semiHidden/>
    <w:unhideWhenUsed/>
    <w:rsid w:val="002B41AE"/>
    <w:rPr>
      <w:color w:val="605E5C"/>
      <w:shd w:val="clear" w:color="auto" w:fill="E1DFDD"/>
    </w:rPr>
  </w:style>
  <w:style w:type="paragraph" w:styleId="NoSpacing">
    <w:name w:val="No Spacing"/>
    <w:uiPriority w:val="1"/>
    <w:qFormat/>
    <w:rsid w:val="002E1AF5"/>
    <w:rPr>
      <w:rFonts w:eastAsiaTheme="minorHAnsi"/>
      <w:sz w:val="22"/>
      <w:szCs w:val="22"/>
      <w:lang w:val="en-GB"/>
    </w:rPr>
  </w:style>
  <w:style w:type="character" w:customStyle="1" w:styleId="apple-converted-space">
    <w:name w:val="apple-converted-space"/>
    <w:basedOn w:val="DefaultParagraphFont"/>
    <w:rsid w:val="002E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681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itagegatewa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itagegateway.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Town_and_country_planning_in_the_United_Kingdom" TargetMode="External"/><Relationship Id="rId4" Type="http://schemas.openxmlformats.org/officeDocument/2006/relationships/settings" Target="settings.xml"/><Relationship Id="rId9" Type="http://schemas.openxmlformats.org/officeDocument/2006/relationships/hyperlink" Target="http://www.historicengland.org.uk/listing/the-list/"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78225-3E56-EE4D-8C98-48505F10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835</Words>
  <Characters>4414</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
    </vt:vector>
  </TitlesOfParts>
  <Company>Topics</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Jones</dc:creator>
  <cp:keywords/>
  <dc:description/>
  <cp:lastModifiedBy>Microsoft Office User</cp:lastModifiedBy>
  <cp:revision>3</cp:revision>
  <cp:lastPrinted>2019-09-11T12:45:00Z</cp:lastPrinted>
  <dcterms:created xsi:type="dcterms:W3CDTF">2019-10-10T14:57:00Z</dcterms:created>
  <dcterms:modified xsi:type="dcterms:W3CDTF">2019-10-10T15:07:00Z</dcterms:modified>
</cp:coreProperties>
</file>