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6FC" w:rsidRPr="002B41AE" w:rsidRDefault="005F56FC" w:rsidP="005F56FC">
      <w:pPr>
        <w:jc w:val="center"/>
        <w:rPr>
          <w:rFonts w:ascii="Verdana" w:hAnsi="Verdana"/>
          <w:b/>
          <w:bCs/>
          <w:sz w:val="28"/>
          <w:szCs w:val="28"/>
        </w:rPr>
      </w:pPr>
      <w:r w:rsidRPr="002B41AE">
        <w:rPr>
          <w:rFonts w:ascii="Verdana" w:hAnsi="Verdana" w:cs="Verdana"/>
          <w:b/>
          <w:noProof/>
          <w:color w:val="006935"/>
          <w:sz w:val="28"/>
          <w:szCs w:val="28"/>
          <w:vertAlign w:val="subscript"/>
        </w:rPr>
        <w:drawing>
          <wp:anchor distT="0" distB="0" distL="114300" distR="114300" simplePos="0" relativeHeight="251660288" behindDoc="1" locked="0" layoutInCell="1" allowOverlap="1" wp14:anchorId="47227E0C" wp14:editId="114A7CD6">
            <wp:simplePos x="0" y="0"/>
            <wp:positionH relativeFrom="column">
              <wp:posOffset>-960080</wp:posOffset>
            </wp:positionH>
            <wp:positionV relativeFrom="paragraph">
              <wp:posOffset>-1254863</wp:posOffset>
            </wp:positionV>
            <wp:extent cx="7683504" cy="10868025"/>
            <wp:effectExtent l="0" t="0" r="0" b="0"/>
            <wp:wrapNone/>
            <wp:docPr id="10" name="Picture 1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ING REPTON A4 GUIDELINES.JUNE 201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83504" cy="10868025"/>
                    </a:xfrm>
                    <a:prstGeom prst="rect">
                      <a:avLst/>
                    </a:prstGeom>
                  </pic:spPr>
                </pic:pic>
              </a:graphicData>
            </a:graphic>
            <wp14:sizeRelH relativeFrom="page">
              <wp14:pctWidth>0</wp14:pctWidth>
            </wp14:sizeRelH>
            <wp14:sizeRelV relativeFrom="page">
              <wp14:pctHeight>0</wp14:pctHeight>
            </wp14:sizeRelV>
          </wp:anchor>
        </w:drawing>
      </w:r>
      <w:r w:rsidRPr="002B41AE">
        <w:rPr>
          <w:rFonts w:ascii="Verdana" w:hAnsi="Verdana"/>
          <w:b/>
          <w:bCs/>
          <w:sz w:val="28"/>
          <w:szCs w:val="28"/>
        </w:rPr>
        <w:t xml:space="preserve">Land of the </w:t>
      </w:r>
      <w:proofErr w:type="spellStart"/>
      <w:r w:rsidRPr="002B41AE">
        <w:rPr>
          <w:rFonts w:ascii="Verdana" w:hAnsi="Verdana"/>
          <w:b/>
          <w:bCs/>
          <w:sz w:val="28"/>
          <w:szCs w:val="28"/>
        </w:rPr>
        <w:t>Fanns</w:t>
      </w:r>
      <w:proofErr w:type="spellEnd"/>
      <w:r w:rsidRPr="002B41AE">
        <w:rPr>
          <w:rFonts w:ascii="Verdana" w:hAnsi="Verdana"/>
          <w:b/>
          <w:bCs/>
          <w:sz w:val="28"/>
          <w:szCs w:val="28"/>
        </w:rPr>
        <w:t>: The Know It, Love It Project</w:t>
      </w:r>
    </w:p>
    <w:p w:rsidR="005F56FC" w:rsidRPr="00284DD6" w:rsidRDefault="005F56FC" w:rsidP="005F56FC">
      <w:pPr>
        <w:rPr>
          <w:rFonts w:ascii="Verdana" w:hAnsi="Verdana"/>
          <w:b/>
          <w:bCs/>
          <w:sz w:val="20"/>
          <w:szCs w:val="20"/>
        </w:rPr>
      </w:pPr>
    </w:p>
    <w:p w:rsidR="005F56FC" w:rsidRDefault="005F56FC" w:rsidP="005F56FC">
      <w:pPr>
        <w:rPr>
          <w:rFonts w:ascii="Verdana" w:eastAsia="Calibri" w:hAnsi="Verdana" w:cs="Times New Roman"/>
          <w:sz w:val="20"/>
          <w:szCs w:val="20"/>
        </w:rPr>
      </w:pPr>
      <w:r w:rsidRPr="00284DD6">
        <w:rPr>
          <w:rFonts w:ascii="Verdana" w:hAnsi="Verdana"/>
          <w:i/>
          <w:iCs/>
          <w:sz w:val="20"/>
          <w:szCs w:val="20"/>
        </w:rPr>
        <w:t xml:space="preserve">*This text is based on material provided by Essex Gardens Trust (essexgardenstrust.org.uk) as part of their publication ‘A Gazetteer of Sites in Essex associated with Humphry Repton’, </w:t>
      </w:r>
      <w:r w:rsidRPr="00284DD6">
        <w:rPr>
          <w:rFonts w:ascii="Verdana" w:eastAsia="Calibri" w:hAnsi="Verdana" w:cs="Times New Roman"/>
          <w:sz w:val="20"/>
          <w:szCs w:val="20"/>
        </w:rPr>
        <w:t>published 2000, edited by Fiona Cowell and Georgina Green, revised by Jill Plater and Georgina Green 2018 (awaiting publication).*</w:t>
      </w:r>
    </w:p>
    <w:p w:rsidR="005F56FC" w:rsidRDefault="005F56FC" w:rsidP="005F56FC">
      <w:pPr>
        <w:rPr>
          <w:rFonts w:ascii="Verdana" w:eastAsia="Calibri" w:hAnsi="Verdana" w:cs="Times New Roman"/>
          <w:sz w:val="20"/>
          <w:szCs w:val="20"/>
        </w:rPr>
      </w:pPr>
    </w:p>
    <w:p w:rsidR="005F56FC" w:rsidRPr="00284DD6" w:rsidRDefault="005F56FC" w:rsidP="005F56FC">
      <w:pPr>
        <w:rPr>
          <w:rFonts w:ascii="Verdana" w:hAnsi="Verdana"/>
          <w:b/>
          <w:bCs/>
          <w:i/>
          <w:iCs/>
          <w:sz w:val="20"/>
          <w:szCs w:val="20"/>
          <w:u w:val="single"/>
        </w:rPr>
      </w:pPr>
      <w:r w:rsidRPr="00284DD6">
        <w:rPr>
          <w:rFonts w:ascii="Verdana" w:eastAsia="Calibri" w:hAnsi="Verdana" w:cs="Times New Roman"/>
          <w:b/>
          <w:bCs/>
          <w:sz w:val="20"/>
          <w:szCs w:val="20"/>
          <w:u w:val="single"/>
        </w:rPr>
        <w:t>Note the clear way it has been laid out!</w:t>
      </w:r>
    </w:p>
    <w:p w:rsidR="005F56FC" w:rsidRPr="00284DD6" w:rsidRDefault="005F56FC" w:rsidP="005F56FC">
      <w:pPr>
        <w:jc w:val="center"/>
        <w:rPr>
          <w:rFonts w:ascii="Verdana" w:hAnsi="Verdana"/>
          <w:b/>
          <w:bCs/>
          <w:sz w:val="22"/>
          <w:szCs w:val="22"/>
        </w:rPr>
      </w:pPr>
    </w:p>
    <w:tbl>
      <w:tblPr>
        <w:tblW w:w="9299" w:type="dxa"/>
        <w:tblLayout w:type="fixed"/>
        <w:tblCellMar>
          <w:left w:w="107" w:type="dxa"/>
          <w:right w:w="107" w:type="dxa"/>
        </w:tblCellMar>
        <w:tblLook w:val="04A0" w:firstRow="1" w:lastRow="0" w:firstColumn="1" w:lastColumn="0" w:noHBand="0" w:noVBand="1"/>
      </w:tblPr>
      <w:tblGrid>
        <w:gridCol w:w="4253"/>
        <w:gridCol w:w="5046"/>
      </w:tblGrid>
      <w:tr w:rsidR="005F56FC" w:rsidRPr="00284DD6" w:rsidTr="00C71070">
        <w:tc>
          <w:tcPr>
            <w:tcW w:w="4253" w:type="dxa"/>
          </w:tcPr>
          <w:p w:rsidR="005F56FC" w:rsidRPr="00284DD6" w:rsidRDefault="005F56FC" w:rsidP="00C71070">
            <w:pPr>
              <w:spacing w:line="276" w:lineRule="auto"/>
              <w:jc w:val="both"/>
              <w:rPr>
                <w:rFonts w:ascii="Verdana" w:hAnsi="Verdana"/>
                <w:b/>
                <w:sz w:val="22"/>
                <w:szCs w:val="22"/>
              </w:rPr>
            </w:pPr>
            <w:r w:rsidRPr="00284DD6">
              <w:rPr>
                <w:rFonts w:ascii="Verdana" w:hAnsi="Verdana"/>
                <w:sz w:val="22"/>
                <w:szCs w:val="22"/>
              </w:rPr>
              <w:br w:type="page"/>
            </w:r>
            <w:r w:rsidRPr="00284DD6">
              <w:rPr>
                <w:rFonts w:ascii="Verdana" w:hAnsi="Verdana"/>
                <w:b/>
                <w:sz w:val="22"/>
                <w:szCs w:val="22"/>
              </w:rPr>
              <w:t>Name</w:t>
            </w:r>
          </w:p>
          <w:p w:rsidR="005F56FC" w:rsidRPr="00284DD6" w:rsidRDefault="005F56FC" w:rsidP="00C71070">
            <w:pPr>
              <w:spacing w:line="276" w:lineRule="auto"/>
              <w:jc w:val="both"/>
              <w:rPr>
                <w:rFonts w:ascii="Verdana" w:hAnsi="Verdana"/>
                <w:sz w:val="22"/>
                <w:szCs w:val="22"/>
              </w:rPr>
            </w:pPr>
          </w:p>
        </w:tc>
        <w:tc>
          <w:tcPr>
            <w:tcW w:w="5046" w:type="dxa"/>
            <w:hideMark/>
          </w:tcPr>
          <w:p w:rsidR="005F56FC" w:rsidRPr="00284DD6" w:rsidRDefault="005F56FC" w:rsidP="00C71070">
            <w:pPr>
              <w:spacing w:line="276" w:lineRule="auto"/>
              <w:jc w:val="both"/>
              <w:rPr>
                <w:rFonts w:ascii="Verdana" w:hAnsi="Verdana"/>
                <w:sz w:val="22"/>
                <w:szCs w:val="22"/>
              </w:rPr>
            </w:pPr>
            <w:r w:rsidRPr="00284DD6">
              <w:rPr>
                <w:rFonts w:ascii="Verdana" w:hAnsi="Verdana"/>
                <w:b/>
                <w:sz w:val="22"/>
                <w:szCs w:val="22"/>
              </w:rPr>
              <w:t>STUBBERS</w:t>
            </w:r>
            <w:r w:rsidRPr="00284DD6">
              <w:rPr>
                <w:rFonts w:ascii="Verdana" w:hAnsi="Verdana"/>
                <w:sz w:val="22"/>
                <w:szCs w:val="22"/>
              </w:rPr>
              <w:t xml:space="preserve">, North Ockendon London Borough of </w:t>
            </w:r>
            <w:proofErr w:type="spellStart"/>
            <w:r w:rsidRPr="00284DD6">
              <w:rPr>
                <w:rFonts w:ascii="Verdana" w:hAnsi="Verdana"/>
                <w:sz w:val="22"/>
                <w:szCs w:val="22"/>
              </w:rPr>
              <w:t>Havering</w:t>
            </w:r>
            <w:proofErr w:type="spellEnd"/>
            <w:r w:rsidRPr="00284DD6">
              <w:rPr>
                <w:rFonts w:ascii="Verdana" w:hAnsi="Verdana"/>
                <w:sz w:val="22"/>
                <w:szCs w:val="22"/>
              </w:rPr>
              <w:t xml:space="preserve">, </w:t>
            </w:r>
          </w:p>
          <w:p w:rsidR="005F56FC" w:rsidRPr="00284DD6" w:rsidRDefault="005F56FC" w:rsidP="00C71070">
            <w:pPr>
              <w:spacing w:line="276" w:lineRule="auto"/>
              <w:jc w:val="both"/>
              <w:rPr>
                <w:rFonts w:ascii="Verdana" w:hAnsi="Verdana"/>
                <w:sz w:val="22"/>
                <w:szCs w:val="22"/>
              </w:rPr>
            </w:pPr>
            <w:r w:rsidRPr="00284DD6">
              <w:rPr>
                <w:rFonts w:ascii="Verdana" w:hAnsi="Verdana"/>
                <w:sz w:val="22"/>
                <w:szCs w:val="22"/>
              </w:rPr>
              <w:t xml:space="preserve"> </w:t>
            </w:r>
          </w:p>
          <w:p w:rsidR="005F56FC" w:rsidRPr="00284DD6" w:rsidRDefault="005F56FC" w:rsidP="00C71070">
            <w:pPr>
              <w:spacing w:line="276" w:lineRule="auto"/>
              <w:jc w:val="both"/>
              <w:rPr>
                <w:rFonts w:ascii="Verdana" w:hAnsi="Verdana"/>
                <w:sz w:val="22"/>
                <w:szCs w:val="22"/>
              </w:rPr>
            </w:pPr>
          </w:p>
        </w:tc>
      </w:tr>
      <w:tr w:rsidR="005F56FC" w:rsidRPr="00284DD6" w:rsidTr="00C71070">
        <w:tc>
          <w:tcPr>
            <w:tcW w:w="4253" w:type="dxa"/>
          </w:tcPr>
          <w:p w:rsidR="005F56FC" w:rsidRPr="00284DD6" w:rsidRDefault="005F56FC" w:rsidP="00C71070">
            <w:pPr>
              <w:spacing w:line="276" w:lineRule="auto"/>
              <w:jc w:val="both"/>
              <w:rPr>
                <w:rFonts w:ascii="Verdana" w:hAnsi="Verdana"/>
                <w:b/>
                <w:sz w:val="22"/>
                <w:szCs w:val="22"/>
              </w:rPr>
            </w:pPr>
            <w:r w:rsidRPr="00284DD6">
              <w:rPr>
                <w:rFonts w:ascii="Verdana" w:hAnsi="Verdana"/>
                <w:b/>
                <w:sz w:val="22"/>
                <w:szCs w:val="22"/>
              </w:rPr>
              <w:t>OS grid reference</w:t>
            </w:r>
          </w:p>
        </w:tc>
        <w:tc>
          <w:tcPr>
            <w:tcW w:w="5046" w:type="dxa"/>
            <w:hideMark/>
          </w:tcPr>
          <w:p w:rsidR="005F56FC" w:rsidRPr="00284DD6" w:rsidRDefault="005F56FC" w:rsidP="00C71070">
            <w:pPr>
              <w:spacing w:line="276" w:lineRule="auto"/>
              <w:jc w:val="both"/>
              <w:rPr>
                <w:rFonts w:ascii="Verdana" w:hAnsi="Verdana"/>
                <w:sz w:val="22"/>
                <w:szCs w:val="22"/>
              </w:rPr>
            </w:pPr>
            <w:r w:rsidRPr="00284DD6">
              <w:rPr>
                <w:rFonts w:ascii="Verdana" w:hAnsi="Verdana"/>
                <w:sz w:val="22"/>
                <w:szCs w:val="22"/>
              </w:rPr>
              <w:t>TQ 576 847</w:t>
            </w:r>
          </w:p>
        </w:tc>
      </w:tr>
      <w:tr w:rsidR="005F56FC" w:rsidRPr="00284DD6" w:rsidTr="00C71070">
        <w:tc>
          <w:tcPr>
            <w:tcW w:w="4253" w:type="dxa"/>
          </w:tcPr>
          <w:p w:rsidR="005F56FC" w:rsidRPr="00284DD6" w:rsidRDefault="005F56FC" w:rsidP="00C71070">
            <w:pPr>
              <w:spacing w:line="276" w:lineRule="auto"/>
              <w:jc w:val="both"/>
              <w:rPr>
                <w:rFonts w:ascii="Verdana" w:hAnsi="Verdana"/>
                <w:sz w:val="22"/>
                <w:szCs w:val="22"/>
              </w:rPr>
            </w:pPr>
          </w:p>
        </w:tc>
        <w:tc>
          <w:tcPr>
            <w:tcW w:w="5046" w:type="dxa"/>
            <w:hideMark/>
          </w:tcPr>
          <w:p w:rsidR="005F56FC" w:rsidRPr="00284DD6" w:rsidRDefault="005F56FC" w:rsidP="00C71070">
            <w:pPr>
              <w:spacing w:line="276" w:lineRule="auto"/>
              <w:jc w:val="both"/>
              <w:rPr>
                <w:rFonts w:ascii="Verdana" w:hAnsi="Verdana"/>
                <w:sz w:val="22"/>
                <w:szCs w:val="22"/>
              </w:rPr>
            </w:pPr>
          </w:p>
        </w:tc>
      </w:tr>
      <w:tr w:rsidR="005F56FC" w:rsidRPr="00284DD6" w:rsidTr="00C71070">
        <w:tc>
          <w:tcPr>
            <w:tcW w:w="4253" w:type="dxa"/>
          </w:tcPr>
          <w:p w:rsidR="005F56FC" w:rsidRPr="00284DD6" w:rsidRDefault="005F56FC" w:rsidP="00C71070">
            <w:pPr>
              <w:spacing w:line="276" w:lineRule="auto"/>
              <w:jc w:val="both"/>
              <w:rPr>
                <w:rFonts w:ascii="Verdana" w:hAnsi="Verdana"/>
                <w:b/>
                <w:sz w:val="22"/>
                <w:szCs w:val="22"/>
              </w:rPr>
            </w:pPr>
            <w:r w:rsidRPr="00284DD6">
              <w:rPr>
                <w:rFonts w:ascii="Verdana" w:hAnsi="Verdana"/>
                <w:b/>
                <w:sz w:val="22"/>
                <w:szCs w:val="22"/>
              </w:rPr>
              <w:t>Designer: Repton Red Book</w:t>
            </w:r>
          </w:p>
          <w:p w:rsidR="005F56FC" w:rsidRPr="00284DD6" w:rsidRDefault="005F56FC" w:rsidP="00C71070">
            <w:pPr>
              <w:spacing w:line="276" w:lineRule="auto"/>
              <w:jc w:val="both"/>
              <w:rPr>
                <w:rFonts w:ascii="Verdana" w:hAnsi="Verdana"/>
                <w:b/>
                <w:sz w:val="22"/>
                <w:szCs w:val="22"/>
              </w:rPr>
            </w:pPr>
          </w:p>
        </w:tc>
        <w:tc>
          <w:tcPr>
            <w:tcW w:w="5046" w:type="dxa"/>
            <w:hideMark/>
          </w:tcPr>
          <w:p w:rsidR="005F56FC" w:rsidRPr="00284DD6" w:rsidRDefault="005F56FC" w:rsidP="00C71070">
            <w:pPr>
              <w:spacing w:line="276" w:lineRule="auto"/>
              <w:jc w:val="both"/>
              <w:rPr>
                <w:rFonts w:ascii="Verdana" w:hAnsi="Verdana"/>
                <w:sz w:val="22"/>
                <w:szCs w:val="22"/>
              </w:rPr>
            </w:pPr>
            <w:r w:rsidRPr="00284DD6">
              <w:rPr>
                <w:rFonts w:ascii="Verdana" w:hAnsi="Verdana"/>
                <w:sz w:val="22"/>
                <w:szCs w:val="22"/>
              </w:rPr>
              <w:t xml:space="preserve">For Client William Russell, 1796, fire damaged and partly illegible. (Albert </w:t>
            </w:r>
            <w:proofErr w:type="spellStart"/>
            <w:r w:rsidRPr="00284DD6">
              <w:rPr>
                <w:rFonts w:ascii="Verdana" w:hAnsi="Verdana"/>
                <w:sz w:val="22"/>
                <w:szCs w:val="22"/>
              </w:rPr>
              <w:t>Sloman</w:t>
            </w:r>
            <w:proofErr w:type="spellEnd"/>
            <w:r w:rsidRPr="00284DD6">
              <w:rPr>
                <w:rFonts w:ascii="Verdana" w:hAnsi="Verdana"/>
                <w:sz w:val="22"/>
                <w:szCs w:val="22"/>
              </w:rPr>
              <w:t xml:space="preserve"> Library, University of Essex)  . Also in   Peacock’s Repository 1804)                                       </w:t>
            </w:r>
          </w:p>
        </w:tc>
      </w:tr>
      <w:tr w:rsidR="005F56FC" w:rsidRPr="00284DD6" w:rsidTr="00C71070">
        <w:tc>
          <w:tcPr>
            <w:tcW w:w="4253" w:type="dxa"/>
          </w:tcPr>
          <w:p w:rsidR="005F56FC" w:rsidRPr="00284DD6" w:rsidRDefault="005F56FC" w:rsidP="00C71070">
            <w:pPr>
              <w:spacing w:line="276" w:lineRule="auto"/>
              <w:jc w:val="both"/>
              <w:rPr>
                <w:rFonts w:ascii="Verdana" w:hAnsi="Verdana"/>
                <w:b/>
                <w:sz w:val="22"/>
                <w:szCs w:val="22"/>
              </w:rPr>
            </w:pPr>
            <w:r w:rsidRPr="00284DD6">
              <w:rPr>
                <w:rFonts w:ascii="Verdana" w:hAnsi="Verdana"/>
                <w:b/>
                <w:sz w:val="22"/>
                <w:szCs w:val="22"/>
              </w:rPr>
              <w:t>Historic England Registered</w:t>
            </w:r>
          </w:p>
          <w:p w:rsidR="005F56FC" w:rsidRPr="00284DD6" w:rsidRDefault="005F56FC" w:rsidP="00C71070">
            <w:pPr>
              <w:spacing w:line="276" w:lineRule="auto"/>
              <w:jc w:val="both"/>
              <w:rPr>
                <w:rFonts w:ascii="Verdana" w:hAnsi="Verdana"/>
                <w:b/>
                <w:sz w:val="22"/>
                <w:szCs w:val="22"/>
              </w:rPr>
            </w:pPr>
          </w:p>
        </w:tc>
        <w:tc>
          <w:tcPr>
            <w:tcW w:w="5046" w:type="dxa"/>
            <w:hideMark/>
          </w:tcPr>
          <w:p w:rsidR="005F56FC" w:rsidRPr="00284DD6" w:rsidRDefault="005F56FC" w:rsidP="00C71070">
            <w:pPr>
              <w:spacing w:line="276" w:lineRule="auto"/>
              <w:jc w:val="both"/>
              <w:rPr>
                <w:rFonts w:ascii="Verdana" w:hAnsi="Verdana"/>
                <w:sz w:val="22"/>
                <w:szCs w:val="22"/>
              </w:rPr>
            </w:pPr>
            <w:r w:rsidRPr="00284DD6">
              <w:rPr>
                <w:rFonts w:ascii="Verdana" w:hAnsi="Verdana"/>
                <w:sz w:val="22"/>
                <w:szCs w:val="22"/>
              </w:rPr>
              <w:t>No</w:t>
            </w:r>
          </w:p>
        </w:tc>
      </w:tr>
    </w:tbl>
    <w:p w:rsidR="005F56FC" w:rsidRPr="00284DD6" w:rsidRDefault="005F56FC" w:rsidP="005F56FC">
      <w:pPr>
        <w:jc w:val="both"/>
        <w:rPr>
          <w:rFonts w:ascii="Verdana" w:eastAsia="Times New Roman" w:hAnsi="Verdana"/>
          <w:b/>
          <w:sz w:val="22"/>
          <w:szCs w:val="22"/>
          <w:lang w:eastAsia="en-GB"/>
        </w:rPr>
      </w:pPr>
      <w:r w:rsidRPr="00284DD6">
        <w:rPr>
          <w:rFonts w:ascii="Verdana" w:hAnsi="Verdana"/>
          <w:b/>
          <w:sz w:val="22"/>
          <w:szCs w:val="22"/>
        </w:rPr>
        <w:t>History of site and family</w:t>
      </w:r>
    </w:p>
    <w:p w:rsidR="005F56FC" w:rsidRPr="00284DD6" w:rsidRDefault="005F56FC" w:rsidP="005F56FC">
      <w:pPr>
        <w:jc w:val="both"/>
        <w:rPr>
          <w:rFonts w:ascii="Verdana" w:hAnsi="Verdana"/>
          <w:sz w:val="22"/>
          <w:szCs w:val="22"/>
        </w:rPr>
      </w:pPr>
      <w:r w:rsidRPr="00284DD6">
        <w:rPr>
          <w:rFonts w:ascii="Verdana" w:hAnsi="Verdana"/>
          <w:sz w:val="22"/>
          <w:szCs w:val="22"/>
        </w:rPr>
        <w:t xml:space="preserve">Stubbers earliest claim to fame is as the home of William </w:t>
      </w:r>
      <w:proofErr w:type="spellStart"/>
      <w:r w:rsidRPr="00284DD6">
        <w:rPr>
          <w:rFonts w:ascii="Verdana" w:hAnsi="Verdana"/>
          <w:sz w:val="22"/>
          <w:szCs w:val="22"/>
        </w:rPr>
        <w:t>Coys</w:t>
      </w:r>
      <w:proofErr w:type="spellEnd"/>
      <w:r w:rsidRPr="00284DD6">
        <w:rPr>
          <w:rFonts w:ascii="Verdana" w:hAnsi="Verdana"/>
          <w:sz w:val="22"/>
          <w:szCs w:val="22"/>
        </w:rPr>
        <w:t xml:space="preserve"> the plantsman and botanist, who by the end of the sixteenth century had established his garden as an important </w:t>
      </w:r>
      <w:proofErr w:type="spellStart"/>
      <w:r w:rsidRPr="00284DD6">
        <w:rPr>
          <w:rFonts w:ascii="Verdana" w:hAnsi="Verdana"/>
          <w:sz w:val="22"/>
          <w:szCs w:val="22"/>
        </w:rPr>
        <w:t>centre</w:t>
      </w:r>
      <w:proofErr w:type="spellEnd"/>
      <w:r w:rsidRPr="00284DD6">
        <w:rPr>
          <w:rFonts w:ascii="Verdana" w:hAnsi="Verdana"/>
          <w:sz w:val="22"/>
          <w:szCs w:val="22"/>
        </w:rPr>
        <w:t xml:space="preserve"> for the culture of rare and interesting plants.  </w:t>
      </w:r>
      <w:r w:rsidRPr="00284DD6">
        <w:rPr>
          <w:rFonts w:ascii="Verdana" w:hAnsi="Verdana"/>
          <w:i/>
          <w:sz w:val="22"/>
          <w:szCs w:val="22"/>
        </w:rPr>
        <w:t>Yucca gloriosa</w:t>
      </w:r>
      <w:r w:rsidRPr="00284DD6">
        <w:rPr>
          <w:rFonts w:ascii="Verdana" w:hAnsi="Verdana"/>
          <w:sz w:val="22"/>
          <w:szCs w:val="22"/>
        </w:rPr>
        <w:t xml:space="preserve"> first flowered at Stubbers.</w:t>
      </w:r>
    </w:p>
    <w:p w:rsidR="005F56FC" w:rsidRPr="00284DD6" w:rsidRDefault="005F56FC" w:rsidP="005F56FC">
      <w:pPr>
        <w:jc w:val="both"/>
        <w:rPr>
          <w:rFonts w:ascii="Verdana" w:hAnsi="Verdana"/>
          <w:sz w:val="22"/>
          <w:szCs w:val="22"/>
        </w:rPr>
      </w:pPr>
    </w:p>
    <w:p w:rsidR="005F56FC" w:rsidRPr="00284DD6" w:rsidRDefault="005F56FC" w:rsidP="005F56FC">
      <w:pPr>
        <w:jc w:val="both"/>
        <w:rPr>
          <w:rFonts w:ascii="Verdana" w:hAnsi="Verdana"/>
          <w:sz w:val="22"/>
          <w:szCs w:val="22"/>
        </w:rPr>
      </w:pPr>
      <w:r w:rsidRPr="00284DD6">
        <w:rPr>
          <w:rFonts w:ascii="Verdana" w:hAnsi="Verdana"/>
          <w:sz w:val="22"/>
          <w:szCs w:val="22"/>
        </w:rPr>
        <w:t xml:space="preserve">Stubbers was sold out of the </w:t>
      </w:r>
      <w:proofErr w:type="spellStart"/>
      <w:r w:rsidRPr="00284DD6">
        <w:rPr>
          <w:rFonts w:ascii="Verdana" w:hAnsi="Verdana"/>
          <w:sz w:val="22"/>
          <w:szCs w:val="22"/>
        </w:rPr>
        <w:t>Coys</w:t>
      </w:r>
      <w:proofErr w:type="spellEnd"/>
      <w:r w:rsidRPr="00284DD6">
        <w:rPr>
          <w:rFonts w:ascii="Verdana" w:hAnsi="Verdana"/>
          <w:sz w:val="22"/>
          <w:szCs w:val="22"/>
        </w:rPr>
        <w:t xml:space="preserve"> family in 1642, and thereafter passed through several owners until it was bought in 1689 by Sir William Russell.  </w:t>
      </w:r>
    </w:p>
    <w:p w:rsidR="005F56FC" w:rsidRPr="00284DD6" w:rsidRDefault="005F56FC" w:rsidP="005F56FC">
      <w:pPr>
        <w:jc w:val="both"/>
        <w:rPr>
          <w:rFonts w:ascii="Verdana" w:hAnsi="Verdana"/>
          <w:sz w:val="22"/>
          <w:szCs w:val="22"/>
        </w:rPr>
      </w:pPr>
    </w:p>
    <w:p w:rsidR="005F56FC" w:rsidRPr="00284DD6" w:rsidRDefault="005F56FC" w:rsidP="005F56FC">
      <w:pPr>
        <w:jc w:val="both"/>
        <w:rPr>
          <w:rFonts w:ascii="Verdana" w:hAnsi="Verdana"/>
          <w:sz w:val="22"/>
          <w:szCs w:val="22"/>
        </w:rPr>
      </w:pPr>
      <w:r w:rsidRPr="00284DD6">
        <w:rPr>
          <w:rFonts w:ascii="Verdana" w:hAnsi="Verdana"/>
          <w:sz w:val="22"/>
          <w:szCs w:val="22"/>
        </w:rPr>
        <w:t xml:space="preserve">His great grandson William inherited the estate in 1787 and lived there until his death in 1810.  </w:t>
      </w:r>
    </w:p>
    <w:p w:rsidR="005F56FC" w:rsidRPr="00284DD6" w:rsidRDefault="005F56FC" w:rsidP="005F56FC">
      <w:pPr>
        <w:jc w:val="both"/>
        <w:rPr>
          <w:rFonts w:ascii="Verdana" w:hAnsi="Verdana"/>
          <w:sz w:val="22"/>
          <w:szCs w:val="22"/>
        </w:rPr>
      </w:pPr>
    </w:p>
    <w:p w:rsidR="005F56FC" w:rsidRPr="00284DD6" w:rsidRDefault="005F56FC" w:rsidP="005F56FC">
      <w:pPr>
        <w:jc w:val="both"/>
        <w:rPr>
          <w:rFonts w:ascii="Verdana" w:hAnsi="Verdana"/>
          <w:sz w:val="22"/>
          <w:szCs w:val="22"/>
        </w:rPr>
      </w:pPr>
      <w:r w:rsidRPr="00284DD6">
        <w:rPr>
          <w:rFonts w:ascii="Verdana" w:hAnsi="Verdana"/>
          <w:sz w:val="22"/>
          <w:szCs w:val="22"/>
        </w:rPr>
        <w:t xml:space="preserve">The property had been enlarged and improved during the course of the eighteenth century, but many of the walls built in William </w:t>
      </w:r>
      <w:proofErr w:type="spellStart"/>
      <w:r w:rsidRPr="00284DD6">
        <w:rPr>
          <w:rFonts w:ascii="Verdana" w:hAnsi="Verdana"/>
          <w:sz w:val="22"/>
          <w:szCs w:val="22"/>
        </w:rPr>
        <w:t>Coys</w:t>
      </w:r>
      <w:proofErr w:type="spellEnd"/>
      <w:r w:rsidRPr="00284DD6">
        <w:rPr>
          <w:rFonts w:ascii="Verdana" w:hAnsi="Verdana"/>
          <w:sz w:val="22"/>
          <w:szCs w:val="22"/>
        </w:rPr>
        <w:t>’ time were still standing when the designer Humphry Repton was called in. (see Chapman and André 1777 for pre Repton)</w:t>
      </w:r>
    </w:p>
    <w:p w:rsidR="005F56FC" w:rsidRPr="00284DD6" w:rsidRDefault="005F56FC" w:rsidP="005F56FC">
      <w:pPr>
        <w:rPr>
          <w:rFonts w:ascii="Verdana" w:hAnsi="Verdana"/>
          <w:sz w:val="22"/>
          <w:szCs w:val="22"/>
        </w:rPr>
      </w:pPr>
      <w:r w:rsidRPr="00284DD6">
        <w:rPr>
          <w:rFonts w:ascii="Verdana" w:hAnsi="Verdana"/>
          <w:sz w:val="22"/>
          <w:szCs w:val="22"/>
        </w:rPr>
        <w:br w:type="page"/>
      </w:r>
    </w:p>
    <w:p w:rsidR="005F56FC" w:rsidRPr="00284DD6" w:rsidRDefault="005F56FC" w:rsidP="005F56FC">
      <w:pPr>
        <w:jc w:val="both"/>
        <w:rPr>
          <w:rFonts w:ascii="Verdana" w:hAnsi="Verdana"/>
          <w:sz w:val="22"/>
          <w:szCs w:val="22"/>
        </w:rPr>
      </w:pPr>
    </w:p>
    <w:p w:rsidR="005F56FC" w:rsidRPr="00284DD6" w:rsidRDefault="005F56FC" w:rsidP="005F56FC">
      <w:pPr>
        <w:jc w:val="both"/>
        <w:rPr>
          <w:rFonts w:ascii="Verdana" w:hAnsi="Verdana"/>
          <w:b/>
          <w:sz w:val="22"/>
          <w:szCs w:val="22"/>
        </w:rPr>
      </w:pPr>
      <w:proofErr w:type="spellStart"/>
      <w:r w:rsidRPr="00284DD6">
        <w:rPr>
          <w:rFonts w:ascii="Verdana" w:hAnsi="Verdana"/>
          <w:b/>
          <w:sz w:val="22"/>
          <w:szCs w:val="22"/>
        </w:rPr>
        <w:t>Repton’s</w:t>
      </w:r>
      <w:proofErr w:type="spellEnd"/>
      <w:r w:rsidRPr="00284DD6">
        <w:rPr>
          <w:rFonts w:ascii="Verdana" w:hAnsi="Verdana"/>
          <w:b/>
          <w:sz w:val="22"/>
          <w:szCs w:val="22"/>
        </w:rPr>
        <w:t xml:space="preserve"> design suggestions</w:t>
      </w:r>
    </w:p>
    <w:p w:rsidR="005F56FC" w:rsidRPr="00284DD6" w:rsidRDefault="005F56FC" w:rsidP="005F56FC">
      <w:pPr>
        <w:jc w:val="both"/>
        <w:rPr>
          <w:rFonts w:ascii="Verdana" w:hAnsi="Verdana"/>
          <w:b/>
          <w:sz w:val="22"/>
          <w:szCs w:val="22"/>
        </w:rPr>
      </w:pPr>
    </w:p>
    <w:p w:rsidR="005F56FC" w:rsidRPr="00284DD6" w:rsidRDefault="005F56FC" w:rsidP="005F56FC">
      <w:pPr>
        <w:pStyle w:val="ListParagraph"/>
        <w:numPr>
          <w:ilvl w:val="0"/>
          <w:numId w:val="1"/>
        </w:numPr>
        <w:jc w:val="both"/>
        <w:rPr>
          <w:rFonts w:ascii="Verdana" w:hAnsi="Verdana"/>
          <w:sz w:val="22"/>
          <w:szCs w:val="22"/>
        </w:rPr>
      </w:pPr>
      <w:r w:rsidRPr="00284DD6">
        <w:rPr>
          <w:rFonts w:ascii="Verdana" w:hAnsi="Verdana"/>
          <w:sz w:val="22"/>
          <w:szCs w:val="22"/>
        </w:rPr>
        <w:t xml:space="preserve">Most of the walls should be retained ‘in defiance of modern taste as there was no great prospect to compensate for the loss of their security and shelter, and distant hills are better viewed through a small opening than a large one. </w:t>
      </w:r>
    </w:p>
    <w:p w:rsidR="005F56FC" w:rsidRPr="00284DD6" w:rsidRDefault="005F56FC" w:rsidP="005F56FC">
      <w:pPr>
        <w:pStyle w:val="ListParagraph"/>
        <w:numPr>
          <w:ilvl w:val="0"/>
          <w:numId w:val="1"/>
        </w:numPr>
        <w:jc w:val="both"/>
        <w:rPr>
          <w:rFonts w:ascii="Verdana" w:hAnsi="Verdana"/>
          <w:sz w:val="22"/>
          <w:szCs w:val="22"/>
        </w:rPr>
      </w:pPr>
      <w:r w:rsidRPr="00284DD6">
        <w:rPr>
          <w:rFonts w:ascii="Verdana" w:hAnsi="Verdana"/>
          <w:sz w:val="22"/>
          <w:szCs w:val="22"/>
        </w:rPr>
        <w:t xml:space="preserve">Nevertheless, the walls should be hidden by plantations, arranged like the wings of a stage set. </w:t>
      </w:r>
    </w:p>
    <w:p w:rsidR="005F56FC" w:rsidRPr="00284DD6" w:rsidRDefault="005F56FC" w:rsidP="005F56FC">
      <w:pPr>
        <w:jc w:val="both"/>
        <w:rPr>
          <w:rFonts w:ascii="Verdana" w:hAnsi="Verdana"/>
          <w:sz w:val="22"/>
          <w:szCs w:val="22"/>
        </w:rPr>
      </w:pPr>
    </w:p>
    <w:p w:rsidR="005F56FC" w:rsidRPr="00284DD6" w:rsidRDefault="005F56FC" w:rsidP="005F56FC">
      <w:pPr>
        <w:pStyle w:val="ListParagraph"/>
        <w:numPr>
          <w:ilvl w:val="0"/>
          <w:numId w:val="1"/>
        </w:numPr>
        <w:jc w:val="both"/>
        <w:rPr>
          <w:rFonts w:ascii="Verdana" w:hAnsi="Verdana"/>
          <w:sz w:val="22"/>
          <w:szCs w:val="22"/>
        </w:rPr>
      </w:pPr>
      <w:r w:rsidRPr="00284DD6">
        <w:rPr>
          <w:rFonts w:ascii="Verdana" w:hAnsi="Verdana"/>
          <w:sz w:val="22"/>
          <w:szCs w:val="22"/>
        </w:rPr>
        <w:t xml:space="preserve">The lime walk should also be spared, again contrary to fashion, for its Gothic associations and the shady walk it provided in the heat.  An extra wall should be built to ‘make the kitchen garden </w:t>
      </w:r>
      <w:proofErr w:type="spellStart"/>
      <w:r w:rsidRPr="00284DD6">
        <w:rPr>
          <w:rFonts w:ascii="Verdana" w:hAnsi="Verdana"/>
          <w:sz w:val="22"/>
          <w:szCs w:val="22"/>
        </w:rPr>
        <w:t>intire</w:t>
      </w:r>
      <w:proofErr w:type="spellEnd"/>
      <w:r w:rsidRPr="00284DD6">
        <w:rPr>
          <w:rFonts w:ascii="Verdana" w:hAnsi="Verdana"/>
          <w:sz w:val="22"/>
          <w:szCs w:val="22"/>
        </w:rPr>
        <w:t xml:space="preserve">’.  </w:t>
      </w:r>
    </w:p>
    <w:p w:rsidR="005F56FC" w:rsidRPr="00284DD6" w:rsidRDefault="005F56FC" w:rsidP="005F56FC">
      <w:pPr>
        <w:jc w:val="both"/>
        <w:rPr>
          <w:rFonts w:ascii="Verdana" w:hAnsi="Verdana"/>
          <w:sz w:val="22"/>
          <w:szCs w:val="22"/>
        </w:rPr>
      </w:pPr>
    </w:p>
    <w:p w:rsidR="005F56FC" w:rsidRPr="00284DD6" w:rsidRDefault="005F56FC" w:rsidP="005F56FC">
      <w:pPr>
        <w:pStyle w:val="ListParagraph"/>
        <w:numPr>
          <w:ilvl w:val="0"/>
          <w:numId w:val="1"/>
        </w:numPr>
        <w:jc w:val="both"/>
        <w:rPr>
          <w:rFonts w:ascii="Verdana" w:hAnsi="Verdana"/>
          <w:sz w:val="22"/>
          <w:szCs w:val="22"/>
        </w:rPr>
      </w:pPr>
      <w:r w:rsidRPr="00284DD6">
        <w:rPr>
          <w:rFonts w:ascii="Verdana" w:hAnsi="Verdana"/>
          <w:sz w:val="22"/>
          <w:szCs w:val="22"/>
        </w:rPr>
        <w:t>The road on the east boundary should be diverted.</w:t>
      </w:r>
    </w:p>
    <w:p w:rsidR="005F56FC" w:rsidRPr="00684FBE" w:rsidRDefault="005F56FC" w:rsidP="005F56FC">
      <w:pPr>
        <w:jc w:val="both"/>
        <w:rPr>
          <w:rFonts w:ascii="Verdana" w:hAnsi="Verdana"/>
          <w:b/>
          <w:sz w:val="22"/>
          <w:szCs w:val="22"/>
        </w:rPr>
      </w:pPr>
    </w:p>
    <w:p w:rsidR="005F56FC" w:rsidRDefault="005F56FC" w:rsidP="005F56FC">
      <w:pPr>
        <w:jc w:val="both"/>
        <w:rPr>
          <w:rFonts w:ascii="Verdana" w:hAnsi="Verdana"/>
          <w:b/>
          <w:sz w:val="22"/>
          <w:szCs w:val="22"/>
        </w:rPr>
      </w:pPr>
      <w:r w:rsidRPr="00684FBE">
        <w:rPr>
          <w:rFonts w:ascii="Verdana" w:hAnsi="Verdana"/>
          <w:b/>
          <w:sz w:val="22"/>
          <w:szCs w:val="22"/>
        </w:rPr>
        <w:t>Discussion</w:t>
      </w:r>
      <w:r>
        <w:rPr>
          <w:rFonts w:ascii="Verdana" w:hAnsi="Verdana"/>
          <w:b/>
          <w:sz w:val="22"/>
          <w:szCs w:val="22"/>
        </w:rPr>
        <w:t xml:space="preserve"> of Red Book</w:t>
      </w:r>
    </w:p>
    <w:p w:rsidR="005F56FC" w:rsidRPr="00684FBE" w:rsidRDefault="005F56FC" w:rsidP="005F56FC">
      <w:pPr>
        <w:jc w:val="both"/>
        <w:rPr>
          <w:rFonts w:ascii="Verdana" w:hAnsi="Verdana"/>
          <w:b/>
          <w:sz w:val="22"/>
          <w:szCs w:val="22"/>
        </w:rPr>
      </w:pPr>
    </w:p>
    <w:p w:rsidR="005F56FC" w:rsidRDefault="005F56FC" w:rsidP="005F56FC">
      <w:pPr>
        <w:jc w:val="both"/>
        <w:rPr>
          <w:rFonts w:ascii="Verdana" w:hAnsi="Verdana"/>
          <w:sz w:val="22"/>
          <w:szCs w:val="22"/>
        </w:rPr>
      </w:pPr>
      <w:proofErr w:type="spellStart"/>
      <w:r w:rsidRPr="00684FBE">
        <w:rPr>
          <w:rFonts w:ascii="Verdana" w:hAnsi="Verdana"/>
          <w:sz w:val="22"/>
          <w:szCs w:val="22"/>
        </w:rPr>
        <w:t>Repton’s</w:t>
      </w:r>
      <w:proofErr w:type="spellEnd"/>
      <w:r w:rsidRPr="00684FBE">
        <w:rPr>
          <w:rFonts w:ascii="Verdana" w:hAnsi="Verdana"/>
          <w:sz w:val="22"/>
          <w:szCs w:val="22"/>
        </w:rPr>
        <w:t xml:space="preserve"> main insistence in this Red Book is on ‘comfort rather than prospect’, showing him at his most pragmatic.  The site of Stubbers did not lend itself to sweeping away all the enclosures of the old garden layout to make a small landscape park; instead Repton retained much of what was already there to create the illusion of enticing prospects and open spaces.  </w:t>
      </w:r>
    </w:p>
    <w:p w:rsidR="005F56FC" w:rsidRDefault="005F56FC" w:rsidP="005F56FC">
      <w:pPr>
        <w:jc w:val="both"/>
        <w:rPr>
          <w:rFonts w:ascii="Verdana" w:hAnsi="Verdana"/>
          <w:sz w:val="22"/>
          <w:szCs w:val="22"/>
        </w:rPr>
      </w:pPr>
    </w:p>
    <w:p w:rsidR="005F56FC" w:rsidRPr="00684FBE" w:rsidRDefault="005F56FC" w:rsidP="005F56FC">
      <w:pPr>
        <w:jc w:val="both"/>
        <w:rPr>
          <w:rFonts w:ascii="Verdana" w:hAnsi="Verdana"/>
          <w:sz w:val="22"/>
          <w:szCs w:val="22"/>
        </w:rPr>
      </w:pPr>
      <w:r w:rsidRPr="00684FBE">
        <w:rPr>
          <w:rFonts w:ascii="Verdana" w:hAnsi="Verdana"/>
          <w:sz w:val="22"/>
          <w:szCs w:val="22"/>
        </w:rPr>
        <w:t xml:space="preserve">Nevertheless, </w:t>
      </w:r>
      <w:r>
        <w:rPr>
          <w:rFonts w:ascii="Verdana" w:hAnsi="Verdana"/>
          <w:sz w:val="22"/>
          <w:szCs w:val="22"/>
        </w:rPr>
        <w:t xml:space="preserve"> . . . </w:t>
      </w:r>
      <w:r w:rsidRPr="00684FBE">
        <w:rPr>
          <w:rFonts w:ascii="Verdana" w:hAnsi="Verdana"/>
          <w:sz w:val="22"/>
          <w:szCs w:val="22"/>
        </w:rPr>
        <w:t>his illustration of the view from the house towards the temple (see illustration</w:t>
      </w:r>
      <w:r>
        <w:rPr>
          <w:rFonts w:ascii="Verdana" w:hAnsi="Verdana"/>
          <w:sz w:val="22"/>
          <w:szCs w:val="22"/>
        </w:rPr>
        <w:t xml:space="preserve"> next page</w:t>
      </w:r>
      <w:r w:rsidRPr="00684FBE">
        <w:rPr>
          <w:rFonts w:ascii="Verdana" w:hAnsi="Verdana"/>
          <w:sz w:val="22"/>
          <w:szCs w:val="22"/>
        </w:rPr>
        <w:t xml:space="preserve">), described as ‘an anticipation of what may be expected after a lapse of only two or three seasons’ looks very optimistic. </w:t>
      </w:r>
    </w:p>
    <w:p w:rsidR="005F56FC" w:rsidRPr="00684FBE" w:rsidRDefault="005F56FC" w:rsidP="005F56FC">
      <w:pPr>
        <w:jc w:val="both"/>
        <w:rPr>
          <w:rFonts w:ascii="Verdana" w:hAnsi="Verdana"/>
          <w:sz w:val="22"/>
          <w:szCs w:val="22"/>
        </w:rPr>
      </w:pPr>
    </w:p>
    <w:p w:rsidR="005F56FC" w:rsidRDefault="005F56FC" w:rsidP="005F56FC">
      <w:pPr>
        <w:jc w:val="both"/>
        <w:rPr>
          <w:rFonts w:ascii="Verdana" w:hAnsi="Verdana"/>
          <w:sz w:val="22"/>
          <w:szCs w:val="22"/>
        </w:rPr>
      </w:pPr>
      <w:r w:rsidRPr="00684FBE">
        <w:rPr>
          <w:rFonts w:ascii="Verdana" w:hAnsi="Verdana"/>
          <w:sz w:val="22"/>
          <w:szCs w:val="22"/>
        </w:rPr>
        <w:t xml:space="preserve"> The road that Repton suggested should be diverted was moved in 1814, thus giving the house more space to the west, which by the mid nineteenth century had been incorporated into the park.  </w:t>
      </w:r>
    </w:p>
    <w:p w:rsidR="005F56FC" w:rsidRDefault="005F56FC" w:rsidP="005F56FC">
      <w:pPr>
        <w:jc w:val="both"/>
        <w:rPr>
          <w:rFonts w:ascii="Verdana" w:hAnsi="Verdana"/>
          <w:sz w:val="22"/>
          <w:szCs w:val="22"/>
        </w:rPr>
      </w:pPr>
    </w:p>
    <w:p w:rsidR="005F56FC" w:rsidRDefault="005F56FC" w:rsidP="005F56FC">
      <w:pPr>
        <w:jc w:val="both"/>
        <w:rPr>
          <w:rFonts w:ascii="Verdana" w:hAnsi="Verdana"/>
          <w:sz w:val="22"/>
          <w:szCs w:val="22"/>
        </w:rPr>
      </w:pPr>
      <w:r w:rsidRPr="00684FBE">
        <w:rPr>
          <w:rFonts w:ascii="Verdana" w:hAnsi="Verdana"/>
          <w:noProof/>
          <w:sz w:val="22"/>
          <w:szCs w:val="22"/>
        </w:rPr>
        <w:drawing>
          <wp:anchor distT="0" distB="0" distL="114300" distR="114300" simplePos="0" relativeHeight="251659264" behindDoc="1" locked="0" layoutInCell="1" allowOverlap="1" wp14:anchorId="71A3D57C" wp14:editId="3541FBA5">
            <wp:simplePos x="0" y="0"/>
            <wp:positionH relativeFrom="column">
              <wp:posOffset>-69850</wp:posOffset>
            </wp:positionH>
            <wp:positionV relativeFrom="paragraph">
              <wp:posOffset>166370</wp:posOffset>
            </wp:positionV>
            <wp:extent cx="5233670" cy="2575560"/>
            <wp:effectExtent l="0" t="0" r="0" b="2540"/>
            <wp:wrapTight wrapText="bothSides">
              <wp:wrapPolygon edited="0">
                <wp:start x="0" y="0"/>
                <wp:lineTo x="0" y="21515"/>
                <wp:lineTo x="21542" y="21515"/>
                <wp:lineTo x="21542" y="0"/>
                <wp:lineTo x="0" y="0"/>
              </wp:wrapPolygon>
            </wp:wrapTight>
            <wp:docPr id="6" name="Picture 6" descr="stubbersp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ubbersp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3670" cy="2575560"/>
                    </a:xfrm>
                    <a:prstGeom prst="rect">
                      <a:avLst/>
                    </a:prstGeom>
                    <a:noFill/>
                  </pic:spPr>
                </pic:pic>
              </a:graphicData>
            </a:graphic>
            <wp14:sizeRelH relativeFrom="page">
              <wp14:pctWidth>0</wp14:pctWidth>
            </wp14:sizeRelH>
            <wp14:sizeRelV relativeFrom="page">
              <wp14:pctHeight>0</wp14:pctHeight>
            </wp14:sizeRelV>
          </wp:anchor>
        </w:drawing>
      </w:r>
    </w:p>
    <w:p w:rsidR="005F56FC" w:rsidRDefault="005F56FC" w:rsidP="005F56FC">
      <w:pPr>
        <w:rPr>
          <w:rFonts w:ascii="Verdana" w:hAnsi="Verdana"/>
          <w:sz w:val="22"/>
          <w:szCs w:val="22"/>
        </w:rPr>
      </w:pPr>
      <w:r w:rsidRPr="00684FBE">
        <w:rPr>
          <w:rFonts w:ascii="Verdana" w:hAnsi="Verdana"/>
          <w:sz w:val="22"/>
          <w:szCs w:val="22"/>
        </w:rPr>
        <w:t>Engraving of Stubbers after Repton</w:t>
      </w:r>
      <w:r>
        <w:rPr>
          <w:rFonts w:ascii="Verdana" w:hAnsi="Verdana"/>
          <w:sz w:val="22"/>
          <w:szCs w:val="22"/>
        </w:rPr>
        <w:t xml:space="preserve"> </w:t>
      </w:r>
      <w:r w:rsidRPr="00684FBE">
        <w:rPr>
          <w:rFonts w:ascii="Verdana" w:hAnsi="Verdana"/>
          <w:sz w:val="22"/>
          <w:szCs w:val="22"/>
        </w:rPr>
        <w:t xml:space="preserve">from </w:t>
      </w:r>
      <w:r w:rsidRPr="00684FBE">
        <w:rPr>
          <w:rFonts w:ascii="Verdana" w:hAnsi="Verdana"/>
          <w:i/>
          <w:sz w:val="22"/>
          <w:szCs w:val="22"/>
        </w:rPr>
        <w:t xml:space="preserve">The Polite Repository </w:t>
      </w:r>
      <w:r w:rsidRPr="00684FBE">
        <w:rPr>
          <w:rFonts w:ascii="Verdana" w:hAnsi="Verdana"/>
          <w:sz w:val="22"/>
          <w:szCs w:val="22"/>
        </w:rPr>
        <w:t>1804</w:t>
      </w:r>
      <w:r>
        <w:rPr>
          <w:rFonts w:ascii="Verdana" w:hAnsi="Verdana"/>
          <w:sz w:val="22"/>
          <w:szCs w:val="22"/>
        </w:rPr>
        <w:t xml:space="preserve"> </w:t>
      </w:r>
      <w:r w:rsidRPr="00684FBE">
        <w:rPr>
          <w:rFonts w:ascii="Verdana" w:hAnsi="Verdana"/>
          <w:sz w:val="22"/>
          <w:szCs w:val="22"/>
        </w:rPr>
        <w:t>(Courtesy of the Nigel Temple Collection, The Gardens Trust)</w:t>
      </w:r>
    </w:p>
    <w:p w:rsidR="005F56FC" w:rsidRDefault="005F56FC" w:rsidP="005F56FC">
      <w:pPr>
        <w:jc w:val="center"/>
        <w:rPr>
          <w:rFonts w:ascii="Verdana" w:hAnsi="Verdana"/>
          <w:sz w:val="22"/>
          <w:szCs w:val="22"/>
        </w:rPr>
      </w:pPr>
    </w:p>
    <w:p w:rsidR="005F56FC" w:rsidRPr="00284DD6" w:rsidRDefault="005F56FC" w:rsidP="005F56FC">
      <w:pPr>
        <w:jc w:val="both"/>
        <w:rPr>
          <w:rFonts w:ascii="Verdana" w:hAnsi="Verdana"/>
          <w:sz w:val="22"/>
          <w:szCs w:val="22"/>
        </w:rPr>
      </w:pPr>
      <w:r>
        <w:rPr>
          <w:rFonts w:ascii="Verdana" w:hAnsi="Verdana"/>
          <w:b/>
          <w:bCs/>
          <w:sz w:val="22"/>
          <w:szCs w:val="22"/>
        </w:rPr>
        <w:lastRenderedPageBreak/>
        <w:t xml:space="preserve">1810 </w:t>
      </w:r>
      <w:r w:rsidRPr="00284DD6">
        <w:rPr>
          <w:rFonts w:ascii="Verdana" w:hAnsi="Verdana"/>
          <w:sz w:val="22"/>
          <w:szCs w:val="22"/>
        </w:rPr>
        <w:t xml:space="preserve">William Russell (who had consulted Repton) died in </w:t>
      </w:r>
      <w:r w:rsidRPr="00284DD6">
        <w:rPr>
          <w:rFonts w:ascii="Verdana" w:hAnsi="Verdana"/>
          <w:b/>
          <w:bCs/>
          <w:sz w:val="22"/>
          <w:szCs w:val="22"/>
        </w:rPr>
        <w:t>1810.</w:t>
      </w:r>
      <w:r w:rsidRPr="00284DD6">
        <w:rPr>
          <w:rFonts w:ascii="Verdana" w:hAnsi="Verdana"/>
          <w:sz w:val="22"/>
          <w:szCs w:val="22"/>
        </w:rPr>
        <w:t xml:space="preserve"> </w:t>
      </w:r>
    </w:p>
    <w:p w:rsidR="005F56FC" w:rsidRDefault="005F56FC" w:rsidP="005F56FC">
      <w:pPr>
        <w:jc w:val="both"/>
        <w:rPr>
          <w:rFonts w:ascii="Verdana" w:hAnsi="Verdana"/>
          <w:b/>
          <w:bCs/>
          <w:sz w:val="22"/>
          <w:szCs w:val="22"/>
        </w:rPr>
      </w:pPr>
    </w:p>
    <w:p w:rsidR="005F56FC" w:rsidRPr="00284DD6" w:rsidRDefault="005F56FC" w:rsidP="005F56FC">
      <w:pPr>
        <w:jc w:val="both"/>
        <w:rPr>
          <w:rFonts w:ascii="Verdana" w:hAnsi="Verdana"/>
          <w:sz w:val="22"/>
          <w:szCs w:val="22"/>
        </w:rPr>
      </w:pPr>
      <w:r w:rsidRPr="00284DD6">
        <w:rPr>
          <w:rFonts w:ascii="Verdana" w:hAnsi="Verdana"/>
          <w:b/>
          <w:bCs/>
          <w:sz w:val="22"/>
          <w:szCs w:val="22"/>
        </w:rPr>
        <w:t>Essex Education Cttee 1947</w:t>
      </w:r>
      <w:r w:rsidRPr="00284DD6">
        <w:rPr>
          <w:rFonts w:ascii="Verdana" w:hAnsi="Verdana"/>
          <w:sz w:val="22"/>
          <w:szCs w:val="22"/>
        </w:rPr>
        <w:t xml:space="preserve"> Stubbers remained in the Russell family, through a sideways inheritance, until in 1947 the house, by then in bad repair, was sold to the Essex Education Committee for use as a Youth Centre.  </w:t>
      </w:r>
    </w:p>
    <w:p w:rsidR="005F56FC" w:rsidRPr="00284DD6" w:rsidRDefault="005F56FC" w:rsidP="005F56FC">
      <w:pPr>
        <w:jc w:val="both"/>
        <w:rPr>
          <w:rFonts w:ascii="Verdana" w:hAnsi="Verdana"/>
          <w:sz w:val="22"/>
          <w:szCs w:val="22"/>
        </w:rPr>
      </w:pPr>
    </w:p>
    <w:p w:rsidR="005F56FC" w:rsidRPr="00284DD6" w:rsidRDefault="005F56FC" w:rsidP="005F56FC">
      <w:pPr>
        <w:jc w:val="both"/>
        <w:rPr>
          <w:rFonts w:ascii="Verdana" w:hAnsi="Verdana"/>
          <w:sz w:val="22"/>
          <w:szCs w:val="22"/>
        </w:rPr>
      </w:pPr>
      <w:r w:rsidRPr="00284DD6">
        <w:rPr>
          <w:rFonts w:ascii="Verdana" w:hAnsi="Verdana"/>
          <w:b/>
          <w:bCs/>
          <w:sz w:val="22"/>
          <w:szCs w:val="22"/>
        </w:rPr>
        <w:t>House Demolished:</w:t>
      </w:r>
      <w:r w:rsidRPr="00284DD6">
        <w:rPr>
          <w:rFonts w:ascii="Verdana" w:hAnsi="Verdana"/>
          <w:sz w:val="22"/>
          <w:szCs w:val="22"/>
        </w:rPr>
        <w:t xml:space="preserve"> The outbuildings were demolished in 1954, but the house itself survived until 1960, when it was replaced by a typical sixties ‘modern practical building’ for the warden and offices.  </w:t>
      </w:r>
    </w:p>
    <w:p w:rsidR="005F56FC" w:rsidRPr="00284DD6" w:rsidRDefault="005F56FC" w:rsidP="005F56FC">
      <w:pPr>
        <w:jc w:val="both"/>
        <w:rPr>
          <w:rFonts w:ascii="Verdana" w:hAnsi="Verdana"/>
          <w:sz w:val="22"/>
          <w:szCs w:val="22"/>
        </w:rPr>
      </w:pPr>
    </w:p>
    <w:p w:rsidR="005F56FC" w:rsidRPr="00284DD6" w:rsidRDefault="005F56FC" w:rsidP="005F56FC">
      <w:pPr>
        <w:jc w:val="both"/>
        <w:rPr>
          <w:rFonts w:ascii="Verdana" w:hAnsi="Verdana"/>
          <w:sz w:val="22"/>
          <w:szCs w:val="22"/>
        </w:rPr>
      </w:pPr>
      <w:r w:rsidRPr="00284DD6">
        <w:rPr>
          <w:rFonts w:ascii="Verdana" w:hAnsi="Verdana"/>
          <w:sz w:val="22"/>
          <w:szCs w:val="22"/>
        </w:rPr>
        <w:t xml:space="preserve">After the formation of the London Boroughs in 1965, the Stubbers camp site was given to </w:t>
      </w:r>
      <w:proofErr w:type="spellStart"/>
      <w:r w:rsidRPr="00284DD6">
        <w:rPr>
          <w:rFonts w:ascii="Verdana" w:hAnsi="Verdana"/>
          <w:sz w:val="22"/>
          <w:szCs w:val="22"/>
        </w:rPr>
        <w:t>Havering</w:t>
      </w:r>
      <w:proofErr w:type="spellEnd"/>
      <w:r w:rsidRPr="00284DD6">
        <w:rPr>
          <w:rFonts w:ascii="Verdana" w:hAnsi="Verdana"/>
          <w:sz w:val="22"/>
          <w:szCs w:val="22"/>
        </w:rPr>
        <w:t>.  A certain amount of restoration of the old walls has been undertaken</w:t>
      </w:r>
      <w:r>
        <w:rPr>
          <w:rFonts w:ascii="Verdana" w:hAnsi="Verdana"/>
          <w:sz w:val="22"/>
          <w:szCs w:val="22"/>
        </w:rPr>
        <w:t>.</w:t>
      </w:r>
    </w:p>
    <w:p w:rsidR="005F56FC" w:rsidRPr="00284DD6" w:rsidRDefault="005F56FC" w:rsidP="005F56FC">
      <w:pPr>
        <w:jc w:val="both"/>
        <w:rPr>
          <w:rFonts w:ascii="Verdana" w:hAnsi="Verdana"/>
          <w:b/>
          <w:sz w:val="22"/>
          <w:szCs w:val="22"/>
        </w:rPr>
      </w:pPr>
      <w:r w:rsidRPr="00284DD6">
        <w:rPr>
          <w:rFonts w:ascii="Verdana" w:hAnsi="Verdana"/>
          <w:sz w:val="22"/>
          <w:szCs w:val="22"/>
        </w:rPr>
        <w:t xml:space="preserve"> </w:t>
      </w:r>
    </w:p>
    <w:p w:rsidR="005F56FC" w:rsidRPr="00284DD6" w:rsidRDefault="005F56FC" w:rsidP="005F56FC">
      <w:pPr>
        <w:jc w:val="both"/>
        <w:rPr>
          <w:rFonts w:ascii="Verdana" w:hAnsi="Verdana"/>
          <w:b/>
          <w:sz w:val="22"/>
          <w:szCs w:val="22"/>
        </w:rPr>
      </w:pPr>
      <w:r w:rsidRPr="00284DD6">
        <w:rPr>
          <w:rFonts w:ascii="Verdana" w:hAnsi="Verdana"/>
          <w:b/>
          <w:sz w:val="22"/>
          <w:szCs w:val="22"/>
        </w:rPr>
        <w:t xml:space="preserve">Supporting material used by EGT for the history </w:t>
      </w:r>
      <w:proofErr w:type="spellStart"/>
      <w:r w:rsidRPr="00284DD6">
        <w:rPr>
          <w:rFonts w:ascii="Verdana" w:hAnsi="Verdana"/>
          <w:b/>
          <w:sz w:val="22"/>
          <w:szCs w:val="22"/>
        </w:rPr>
        <w:t>etc</w:t>
      </w:r>
      <w:proofErr w:type="spellEnd"/>
    </w:p>
    <w:p w:rsidR="005F56FC" w:rsidRPr="00284DD6" w:rsidRDefault="005F56FC" w:rsidP="005F56FC">
      <w:pPr>
        <w:jc w:val="both"/>
        <w:rPr>
          <w:rFonts w:ascii="Verdana" w:hAnsi="Verdana"/>
          <w:bCs/>
          <w:i/>
          <w:iCs/>
          <w:sz w:val="22"/>
          <w:szCs w:val="22"/>
        </w:rPr>
      </w:pPr>
      <w:r w:rsidRPr="00284DD6">
        <w:rPr>
          <w:rFonts w:ascii="Verdana" w:hAnsi="Verdana"/>
          <w:bCs/>
          <w:i/>
          <w:iCs/>
          <w:sz w:val="22"/>
          <w:szCs w:val="22"/>
        </w:rPr>
        <w:t>Maps</w:t>
      </w:r>
    </w:p>
    <w:p w:rsidR="005F56FC" w:rsidRPr="00284DD6" w:rsidRDefault="005F56FC" w:rsidP="005F56FC">
      <w:pPr>
        <w:jc w:val="both"/>
        <w:rPr>
          <w:rFonts w:ascii="Verdana" w:hAnsi="Verdana"/>
          <w:sz w:val="22"/>
          <w:szCs w:val="22"/>
        </w:rPr>
      </w:pPr>
      <w:r w:rsidRPr="00284DD6">
        <w:rPr>
          <w:rFonts w:ascii="Verdana" w:hAnsi="Verdana"/>
          <w:sz w:val="22"/>
          <w:szCs w:val="22"/>
        </w:rPr>
        <w:t>Chapman and André 1777.  Comparison with the Tithe Map shows which walls were demolished.</w:t>
      </w:r>
    </w:p>
    <w:p w:rsidR="005F56FC" w:rsidRPr="00284DD6" w:rsidRDefault="005F56FC" w:rsidP="005F56FC">
      <w:pPr>
        <w:jc w:val="both"/>
        <w:rPr>
          <w:rFonts w:ascii="Verdana" w:hAnsi="Verdana"/>
          <w:sz w:val="22"/>
          <w:szCs w:val="22"/>
        </w:rPr>
      </w:pPr>
      <w:r w:rsidRPr="00284DD6">
        <w:rPr>
          <w:rFonts w:ascii="Verdana" w:hAnsi="Verdana"/>
          <w:sz w:val="22"/>
          <w:szCs w:val="22"/>
        </w:rPr>
        <w:t>OSD 1799</w:t>
      </w:r>
    </w:p>
    <w:p w:rsidR="005F56FC" w:rsidRPr="00284DD6" w:rsidRDefault="005F56FC" w:rsidP="005F56FC">
      <w:pPr>
        <w:jc w:val="both"/>
        <w:rPr>
          <w:rFonts w:ascii="Verdana" w:hAnsi="Verdana"/>
          <w:sz w:val="22"/>
          <w:szCs w:val="22"/>
        </w:rPr>
      </w:pPr>
      <w:r w:rsidRPr="00284DD6">
        <w:rPr>
          <w:rFonts w:ascii="Verdana" w:hAnsi="Verdana"/>
          <w:sz w:val="22"/>
          <w:szCs w:val="22"/>
        </w:rPr>
        <w:t>Tithe Map 1841</w:t>
      </w:r>
      <w:r w:rsidRPr="00284DD6">
        <w:rPr>
          <w:rFonts w:ascii="Verdana" w:hAnsi="Verdana"/>
          <w:b/>
          <w:sz w:val="22"/>
          <w:szCs w:val="22"/>
        </w:rPr>
        <w:t xml:space="preserve"> </w:t>
      </w:r>
      <w:r w:rsidRPr="00284DD6">
        <w:rPr>
          <w:rFonts w:ascii="Verdana" w:hAnsi="Verdana"/>
          <w:sz w:val="22"/>
          <w:szCs w:val="22"/>
        </w:rPr>
        <w:t>(Essex Record Office: D/CT 260)</w:t>
      </w:r>
    </w:p>
    <w:p w:rsidR="005F56FC" w:rsidRPr="00284DD6" w:rsidRDefault="005F56FC" w:rsidP="005F56FC">
      <w:pPr>
        <w:jc w:val="both"/>
        <w:rPr>
          <w:rFonts w:ascii="Verdana" w:hAnsi="Verdana"/>
          <w:sz w:val="22"/>
          <w:szCs w:val="22"/>
        </w:rPr>
      </w:pPr>
      <w:r w:rsidRPr="00284DD6">
        <w:rPr>
          <w:rFonts w:ascii="Verdana" w:hAnsi="Verdana"/>
          <w:sz w:val="22"/>
          <w:szCs w:val="22"/>
        </w:rPr>
        <w:t>2nd. edition 25” OS, surveyed 1864, revised 1895 (see map)</w:t>
      </w:r>
    </w:p>
    <w:p w:rsidR="005F56FC" w:rsidRPr="00284DD6" w:rsidRDefault="005F56FC" w:rsidP="005F56FC">
      <w:pPr>
        <w:jc w:val="both"/>
        <w:rPr>
          <w:rFonts w:ascii="Verdana" w:hAnsi="Verdana"/>
          <w:sz w:val="22"/>
          <w:szCs w:val="22"/>
        </w:rPr>
      </w:pPr>
    </w:p>
    <w:p w:rsidR="005F56FC" w:rsidRPr="00284DD6" w:rsidRDefault="005F56FC" w:rsidP="005F56FC">
      <w:pPr>
        <w:jc w:val="both"/>
        <w:rPr>
          <w:rFonts w:ascii="Verdana" w:hAnsi="Verdana"/>
          <w:bCs/>
          <w:i/>
          <w:iCs/>
          <w:sz w:val="22"/>
          <w:szCs w:val="22"/>
        </w:rPr>
      </w:pPr>
      <w:r w:rsidRPr="00284DD6">
        <w:rPr>
          <w:rFonts w:ascii="Verdana" w:hAnsi="Verdana"/>
          <w:bCs/>
          <w:i/>
          <w:iCs/>
          <w:sz w:val="22"/>
          <w:szCs w:val="22"/>
        </w:rPr>
        <w:t>Documentary evidence</w:t>
      </w:r>
    </w:p>
    <w:p w:rsidR="005F56FC" w:rsidRPr="00284DD6" w:rsidRDefault="005F56FC" w:rsidP="005F56FC">
      <w:pPr>
        <w:jc w:val="both"/>
        <w:rPr>
          <w:rFonts w:ascii="Verdana" w:hAnsi="Verdana"/>
          <w:b/>
          <w:sz w:val="22"/>
          <w:szCs w:val="22"/>
        </w:rPr>
      </w:pPr>
      <w:r w:rsidRPr="00284DD6">
        <w:rPr>
          <w:rFonts w:ascii="Verdana" w:hAnsi="Verdana"/>
          <w:sz w:val="22"/>
          <w:szCs w:val="22"/>
        </w:rPr>
        <w:t>Road diversion order, 1814 (Essex Record Office: Q/</w:t>
      </w:r>
      <w:proofErr w:type="spellStart"/>
      <w:r w:rsidRPr="00284DD6">
        <w:rPr>
          <w:rFonts w:ascii="Verdana" w:hAnsi="Verdana"/>
          <w:sz w:val="22"/>
          <w:szCs w:val="22"/>
        </w:rPr>
        <w:t>RHi</w:t>
      </w:r>
      <w:proofErr w:type="spellEnd"/>
      <w:r w:rsidRPr="00284DD6">
        <w:rPr>
          <w:rFonts w:ascii="Verdana" w:hAnsi="Verdana"/>
          <w:sz w:val="22"/>
          <w:szCs w:val="22"/>
        </w:rPr>
        <w:t xml:space="preserve"> 3/76)</w:t>
      </w:r>
      <w:r w:rsidRPr="00284DD6">
        <w:rPr>
          <w:rFonts w:ascii="Verdana" w:hAnsi="Verdana"/>
          <w:b/>
          <w:sz w:val="22"/>
          <w:szCs w:val="22"/>
        </w:rPr>
        <w:t xml:space="preserve"> </w:t>
      </w:r>
    </w:p>
    <w:p w:rsidR="005F56FC" w:rsidRPr="00284DD6" w:rsidRDefault="005F56FC" w:rsidP="005F56FC">
      <w:pPr>
        <w:jc w:val="both"/>
        <w:rPr>
          <w:rFonts w:ascii="Verdana" w:hAnsi="Verdana"/>
          <w:b/>
          <w:sz w:val="22"/>
          <w:szCs w:val="22"/>
        </w:rPr>
      </w:pPr>
    </w:p>
    <w:p w:rsidR="005F56FC" w:rsidRPr="00284DD6" w:rsidRDefault="005F56FC" w:rsidP="005F56FC">
      <w:pPr>
        <w:jc w:val="both"/>
        <w:rPr>
          <w:rFonts w:ascii="Verdana" w:hAnsi="Verdana"/>
          <w:bCs/>
          <w:i/>
          <w:iCs/>
          <w:sz w:val="22"/>
          <w:szCs w:val="22"/>
        </w:rPr>
      </w:pPr>
      <w:r w:rsidRPr="00284DD6">
        <w:rPr>
          <w:rFonts w:ascii="Verdana" w:hAnsi="Verdana"/>
          <w:bCs/>
          <w:i/>
          <w:iCs/>
          <w:sz w:val="22"/>
          <w:szCs w:val="22"/>
        </w:rPr>
        <w:t>Contemporary pictorial evidence</w:t>
      </w:r>
    </w:p>
    <w:p w:rsidR="005F56FC" w:rsidRPr="00284DD6" w:rsidRDefault="005F56FC" w:rsidP="005F56FC">
      <w:pPr>
        <w:jc w:val="both"/>
        <w:rPr>
          <w:rFonts w:ascii="Verdana" w:hAnsi="Verdana"/>
          <w:sz w:val="22"/>
          <w:szCs w:val="22"/>
        </w:rPr>
      </w:pPr>
      <w:r w:rsidRPr="00284DD6">
        <w:rPr>
          <w:rFonts w:ascii="Verdana" w:hAnsi="Verdana"/>
          <w:sz w:val="22"/>
          <w:szCs w:val="22"/>
        </w:rPr>
        <w:t>Drawing entitled ‘Stubbers the seat of John Russell Esq’, 1810-25 (Essex Record Office: Mint Binder)</w:t>
      </w:r>
    </w:p>
    <w:p w:rsidR="005F56FC" w:rsidRPr="00284DD6" w:rsidRDefault="005F56FC" w:rsidP="005F56FC">
      <w:pPr>
        <w:jc w:val="both"/>
        <w:rPr>
          <w:rFonts w:ascii="Verdana" w:hAnsi="Verdana"/>
          <w:sz w:val="22"/>
          <w:szCs w:val="22"/>
        </w:rPr>
      </w:pPr>
      <w:r w:rsidRPr="00284DD6">
        <w:rPr>
          <w:rFonts w:ascii="Verdana" w:hAnsi="Verdana"/>
          <w:sz w:val="22"/>
          <w:szCs w:val="22"/>
        </w:rPr>
        <w:t xml:space="preserve"> </w:t>
      </w:r>
    </w:p>
    <w:p w:rsidR="005F56FC" w:rsidRDefault="005F56FC" w:rsidP="005F56FC">
      <w:pPr>
        <w:jc w:val="both"/>
        <w:rPr>
          <w:rFonts w:ascii="Verdana" w:hAnsi="Verdana"/>
          <w:b/>
          <w:sz w:val="22"/>
          <w:szCs w:val="22"/>
        </w:rPr>
      </w:pPr>
      <w:r>
        <w:rPr>
          <w:rFonts w:ascii="Verdana" w:hAnsi="Verdana"/>
          <w:b/>
          <w:sz w:val="22"/>
          <w:szCs w:val="22"/>
        </w:rPr>
        <w:t xml:space="preserve">Printed </w:t>
      </w:r>
      <w:r w:rsidRPr="00284DD6">
        <w:rPr>
          <w:rFonts w:ascii="Verdana" w:hAnsi="Verdana"/>
          <w:b/>
          <w:sz w:val="22"/>
          <w:szCs w:val="22"/>
        </w:rPr>
        <w:t>Sources</w:t>
      </w:r>
    </w:p>
    <w:p w:rsidR="005F56FC" w:rsidRPr="00284DD6" w:rsidRDefault="005F56FC" w:rsidP="005F56FC">
      <w:pPr>
        <w:jc w:val="both"/>
        <w:rPr>
          <w:rFonts w:ascii="Verdana" w:hAnsi="Verdana"/>
          <w:b/>
          <w:sz w:val="22"/>
          <w:szCs w:val="22"/>
        </w:rPr>
      </w:pPr>
    </w:p>
    <w:p w:rsidR="005F56FC" w:rsidRPr="00284DD6" w:rsidRDefault="005F56FC" w:rsidP="005F56FC">
      <w:pPr>
        <w:jc w:val="both"/>
        <w:rPr>
          <w:rFonts w:ascii="Verdana" w:hAnsi="Verdana"/>
          <w:sz w:val="22"/>
          <w:szCs w:val="22"/>
        </w:rPr>
      </w:pPr>
      <w:r w:rsidRPr="00284DD6">
        <w:rPr>
          <w:rFonts w:ascii="Verdana" w:hAnsi="Verdana"/>
          <w:sz w:val="22"/>
          <w:szCs w:val="22"/>
        </w:rPr>
        <w:t xml:space="preserve">Red Book for Stubbers, 1796 (Albert </w:t>
      </w:r>
      <w:proofErr w:type="spellStart"/>
      <w:r w:rsidRPr="00284DD6">
        <w:rPr>
          <w:rFonts w:ascii="Verdana" w:hAnsi="Verdana"/>
          <w:sz w:val="22"/>
          <w:szCs w:val="22"/>
        </w:rPr>
        <w:t>Sloman</w:t>
      </w:r>
      <w:proofErr w:type="spellEnd"/>
      <w:r w:rsidRPr="00284DD6">
        <w:rPr>
          <w:rFonts w:ascii="Verdana" w:hAnsi="Verdana"/>
          <w:sz w:val="22"/>
          <w:szCs w:val="22"/>
        </w:rPr>
        <w:t xml:space="preserve"> Library, University of Essex)</w:t>
      </w:r>
    </w:p>
    <w:p w:rsidR="005F56FC" w:rsidRPr="00284DD6" w:rsidRDefault="005F56FC" w:rsidP="005F56FC">
      <w:pPr>
        <w:jc w:val="both"/>
        <w:rPr>
          <w:rFonts w:ascii="Verdana" w:hAnsi="Verdana"/>
          <w:sz w:val="22"/>
          <w:szCs w:val="22"/>
        </w:rPr>
      </w:pPr>
      <w:r w:rsidRPr="00284DD6">
        <w:rPr>
          <w:rFonts w:ascii="Verdana" w:hAnsi="Verdana"/>
          <w:sz w:val="22"/>
          <w:szCs w:val="22"/>
        </w:rPr>
        <w:t xml:space="preserve">VCH </w:t>
      </w:r>
      <w:proofErr w:type="spellStart"/>
      <w:r w:rsidRPr="00284DD6">
        <w:rPr>
          <w:rFonts w:ascii="Verdana" w:hAnsi="Verdana"/>
          <w:sz w:val="22"/>
          <w:szCs w:val="22"/>
        </w:rPr>
        <w:t>Vol.VII</w:t>
      </w:r>
      <w:proofErr w:type="spellEnd"/>
      <w:r w:rsidRPr="00284DD6">
        <w:rPr>
          <w:rFonts w:ascii="Verdana" w:hAnsi="Verdana"/>
          <w:sz w:val="22"/>
          <w:szCs w:val="22"/>
        </w:rPr>
        <w:t>, 1978</w:t>
      </w:r>
    </w:p>
    <w:p w:rsidR="005F56FC" w:rsidRPr="00284DD6" w:rsidRDefault="005F56FC" w:rsidP="005F56FC">
      <w:pPr>
        <w:jc w:val="both"/>
        <w:rPr>
          <w:rFonts w:ascii="Verdana" w:hAnsi="Verdana"/>
          <w:sz w:val="22"/>
          <w:szCs w:val="22"/>
        </w:rPr>
      </w:pPr>
    </w:p>
    <w:p w:rsidR="005F56FC" w:rsidRPr="00284DD6" w:rsidRDefault="005F56FC" w:rsidP="005F56FC">
      <w:pPr>
        <w:rPr>
          <w:rFonts w:ascii="Verdana" w:hAnsi="Verdana"/>
          <w:sz w:val="22"/>
          <w:szCs w:val="22"/>
        </w:rPr>
      </w:pPr>
    </w:p>
    <w:p w:rsidR="005F56FC" w:rsidRDefault="005F56FC" w:rsidP="005F56FC">
      <w:pPr>
        <w:rPr>
          <w:rFonts w:ascii="Verdana" w:hAnsi="Verdana"/>
          <w:sz w:val="22"/>
          <w:szCs w:val="22"/>
        </w:rPr>
      </w:pPr>
      <w:r w:rsidRPr="00284DD6">
        <w:rPr>
          <w:rFonts w:ascii="Verdana" w:hAnsi="Verdana"/>
          <w:sz w:val="22"/>
          <w:szCs w:val="22"/>
        </w:rPr>
        <w:t xml:space="preserve">Val Body, </w:t>
      </w:r>
      <w:r w:rsidRPr="00284DD6">
        <w:rPr>
          <w:rFonts w:ascii="Verdana" w:hAnsi="Verdana"/>
          <w:i/>
          <w:sz w:val="22"/>
          <w:szCs w:val="22"/>
        </w:rPr>
        <w:t>Stubbers: a short history</w:t>
      </w:r>
      <w:r w:rsidRPr="00284DD6">
        <w:rPr>
          <w:rFonts w:ascii="Verdana" w:hAnsi="Verdana"/>
          <w:sz w:val="22"/>
          <w:szCs w:val="22"/>
        </w:rPr>
        <w:t>, (</w:t>
      </w:r>
      <w:proofErr w:type="spellStart"/>
      <w:r w:rsidRPr="00284DD6">
        <w:rPr>
          <w:rFonts w:ascii="Verdana" w:hAnsi="Verdana"/>
          <w:sz w:val="22"/>
          <w:szCs w:val="22"/>
        </w:rPr>
        <w:t>Havering</w:t>
      </w:r>
      <w:proofErr w:type="spellEnd"/>
      <w:r w:rsidRPr="00284DD6">
        <w:rPr>
          <w:rFonts w:ascii="Verdana" w:hAnsi="Verdana"/>
          <w:sz w:val="22"/>
          <w:szCs w:val="22"/>
        </w:rPr>
        <w:t xml:space="preserve"> Libraries 1989)</w:t>
      </w:r>
    </w:p>
    <w:p w:rsidR="005F56FC" w:rsidRPr="00284DD6" w:rsidRDefault="005F56FC" w:rsidP="005F56FC">
      <w:pPr>
        <w:rPr>
          <w:rFonts w:ascii="Verdana" w:hAnsi="Verdana"/>
          <w:sz w:val="22"/>
          <w:szCs w:val="22"/>
        </w:rPr>
      </w:pPr>
    </w:p>
    <w:p w:rsidR="005F56FC" w:rsidRPr="00284DD6" w:rsidRDefault="005F56FC" w:rsidP="005F56FC">
      <w:pPr>
        <w:jc w:val="both"/>
        <w:rPr>
          <w:rFonts w:ascii="Verdana" w:hAnsi="Verdana"/>
          <w:sz w:val="22"/>
          <w:szCs w:val="22"/>
        </w:rPr>
      </w:pPr>
      <w:r w:rsidRPr="00284DD6">
        <w:rPr>
          <w:rFonts w:ascii="Verdana" w:hAnsi="Verdana"/>
          <w:i/>
          <w:sz w:val="22"/>
          <w:szCs w:val="22"/>
        </w:rPr>
        <w:t>Transactions of the Essex Archaeological Society</w:t>
      </w:r>
      <w:r w:rsidRPr="00284DD6">
        <w:rPr>
          <w:rFonts w:ascii="Verdana" w:hAnsi="Verdana"/>
          <w:sz w:val="22"/>
          <w:szCs w:val="22"/>
        </w:rPr>
        <w:t>, New Series 21, 1937</w:t>
      </w:r>
    </w:p>
    <w:p w:rsidR="0030586B" w:rsidRDefault="0030586B">
      <w:bookmarkStart w:id="0" w:name="_GoBack"/>
      <w:bookmarkEnd w:id="0"/>
    </w:p>
    <w:sectPr w:rsidR="0030586B" w:rsidSect="00B94C6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BD24E3"/>
    <w:multiLevelType w:val="hybridMultilevel"/>
    <w:tmpl w:val="BC14D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6FC"/>
    <w:rsid w:val="0030586B"/>
    <w:rsid w:val="003B0715"/>
    <w:rsid w:val="005F56FC"/>
    <w:rsid w:val="00B94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B70D9A4-1CB9-D046-9DAC-1B00E4A6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F56FC"/>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6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675</Words>
  <Characters>3849</Characters>
  <Application>Microsoft Office Word</Application>
  <DocSecurity>0</DocSecurity>
  <Lines>32</Lines>
  <Paragraphs>9</Paragraphs>
  <ScaleCrop>false</ScaleCrop>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2019-09-10T14:49:00Z</dcterms:created>
  <dcterms:modified xsi:type="dcterms:W3CDTF">2019-09-10T14:50:00Z</dcterms:modified>
</cp:coreProperties>
</file>