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DA26" w14:textId="54F07F1B" w:rsidR="009132AD" w:rsidRDefault="009132AD" w:rsidP="009132AD">
      <w:r w:rsidRPr="0091716F">
        <w:rPr>
          <w:b/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4D132" wp14:editId="43F34522">
                <wp:simplePos x="2070100" y="7143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55620" cy="1059180"/>
                <wp:effectExtent l="0" t="0" r="0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0CB5" w14:textId="77777777" w:rsidR="009132AD" w:rsidRPr="00AA4529" w:rsidRDefault="009132AD" w:rsidP="009132AD">
                            <w:pPr>
                              <w:jc w:val="right"/>
                              <w:rPr>
                                <w:b/>
                                <w:color w:val="336600"/>
                                <w:sz w:val="28"/>
                                <w:szCs w:val="28"/>
                              </w:rPr>
                            </w:pPr>
                            <w:r w:rsidRPr="00AA4529">
                              <w:rPr>
                                <w:b/>
                                <w:color w:val="336600"/>
                                <w:sz w:val="28"/>
                                <w:szCs w:val="28"/>
                              </w:rPr>
                              <w:t>The Gardens Trust</w:t>
                            </w:r>
                          </w:p>
                          <w:p w14:paraId="06AB4929" w14:textId="77777777" w:rsidR="009132AD" w:rsidRPr="00AA4529" w:rsidRDefault="009132AD" w:rsidP="009132AD">
                            <w:pPr>
                              <w:jc w:val="right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t xml:space="preserve">70 </w:t>
                            </w:r>
                            <w:proofErr w:type="spellStart"/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t>Cowcross</w:t>
                            </w:r>
                            <w:proofErr w:type="spellEnd"/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t xml:space="preserve"> Street, London EC1M 6EJ</w:t>
                            </w:r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br/>
                              <w:t>Phone: (+44/0) 207 608 2</w:t>
                            </w:r>
                            <w:r>
                              <w:rPr>
                                <w:color w:val="336600"/>
                                <w:sz w:val="28"/>
                                <w:szCs w:val="28"/>
                              </w:rPr>
                              <w:t>409</w:t>
                            </w:r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t xml:space="preserve">   Email: </w:t>
                            </w:r>
                            <w:hyperlink r:id="rId5" w:history="1">
                              <w:r w:rsidRPr="00AA4529">
                                <w:rPr>
                                  <w:rStyle w:val="Hyperlink"/>
                                  <w:color w:val="336600"/>
                                  <w:sz w:val="28"/>
                                  <w:szCs w:val="28"/>
                                </w:rPr>
                                <w:t>i</w:t>
                              </w:r>
                            </w:hyperlink>
                            <w:r w:rsidRPr="00AA4529">
                              <w:rPr>
                                <w:color w:val="336600"/>
                                <w:sz w:val="28"/>
                                <w:szCs w:val="28"/>
                              </w:rPr>
                              <w:t>nfo@thegardenstrust.org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4D1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.4pt;margin-top:0;width:240.6pt;height:8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" stroked="f">
                <v:textbox>
                  <w:txbxContent>
                    <w:p w14:paraId="27230CB5" w14:textId="77777777" w:rsidR="009132AD" w:rsidRPr="00AA4529" w:rsidRDefault="009132AD" w:rsidP="009132AD">
                      <w:pPr>
                        <w:jc w:val="right"/>
                        <w:rPr>
                          <w:b/>
                          <w:color w:val="336600"/>
                          <w:sz w:val="28"/>
                          <w:szCs w:val="28"/>
                        </w:rPr>
                      </w:pPr>
                      <w:r w:rsidRPr="00AA4529">
                        <w:rPr>
                          <w:b/>
                          <w:color w:val="336600"/>
                          <w:sz w:val="28"/>
                          <w:szCs w:val="28"/>
                        </w:rPr>
                        <w:t>The Gardens Trust</w:t>
                      </w:r>
                    </w:p>
                    <w:p w14:paraId="06AB4929" w14:textId="77777777" w:rsidR="009132AD" w:rsidRPr="00AA4529" w:rsidRDefault="009132AD" w:rsidP="009132AD">
                      <w:pPr>
                        <w:jc w:val="right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t xml:space="preserve">70 </w:t>
                      </w:r>
                      <w:proofErr w:type="spellStart"/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t>Cowcross</w:t>
                      </w:r>
                      <w:proofErr w:type="spellEnd"/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t xml:space="preserve"> Street, London EC1M 6EJ</w:t>
                      </w:r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br/>
                        <w:t>Phone: (+44/0) 207 608 2</w:t>
                      </w:r>
                      <w:r>
                        <w:rPr>
                          <w:color w:val="336600"/>
                          <w:sz w:val="28"/>
                          <w:szCs w:val="28"/>
                        </w:rPr>
                        <w:t>409</w:t>
                      </w:r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t xml:space="preserve">   Email: </w:t>
                      </w:r>
                      <w:hyperlink r:id="rId6" w:history="1">
                        <w:r w:rsidRPr="00AA4529">
                          <w:rPr>
                            <w:rStyle w:val="Hyperlink"/>
                            <w:color w:val="336600"/>
                            <w:sz w:val="28"/>
                            <w:szCs w:val="28"/>
                          </w:rPr>
                          <w:t>i</w:t>
                        </w:r>
                      </w:hyperlink>
                      <w:r w:rsidRPr="00AA4529">
                        <w:rPr>
                          <w:color w:val="336600"/>
                          <w:sz w:val="28"/>
                          <w:szCs w:val="28"/>
                        </w:rPr>
                        <w:t>nfo@thegardenstrust.org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EA2622" wp14:editId="7164B84F">
                <wp:simplePos x="0" y="0"/>
                <wp:positionH relativeFrom="column">
                  <wp:posOffset>-223520</wp:posOffset>
                </wp:positionH>
                <wp:positionV relativeFrom="paragraph">
                  <wp:posOffset>-366395</wp:posOffset>
                </wp:positionV>
                <wp:extent cx="2399665" cy="1454785"/>
                <wp:effectExtent l="0" t="0" r="254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45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0A5FC" w14:textId="0E49AACB" w:rsidR="009132AD" w:rsidRDefault="009132AD" w:rsidP="009132AD">
                            <w:r w:rsidRPr="009A0093">
                              <w:rPr>
                                <w:noProof/>
                              </w:rPr>
                              <w:drawing>
                                <wp:inline distT="0" distB="0" distL="0" distR="0" wp14:anchorId="634B4F5E" wp14:editId="71A62796">
                                  <wp:extent cx="2209800" cy="1066800"/>
                                  <wp:effectExtent l="0" t="0" r="0" b="0"/>
                                  <wp:docPr id="2" name="Picture 2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2622" id="Text Box 3" o:spid="_x0000_s1027" type="#_x0000_t202" style="position:absolute;margin-left:-17.6pt;margin-top:-28.85pt;width:188.95pt;height:11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" filled="f" stroked="f" strokecolor="#f8f8f8">
                <v:textbox>
                  <w:txbxContent>
                    <w:p w14:paraId="5B30A5FC" w14:textId="0E49AACB" w:rsidR="009132AD" w:rsidRDefault="009132AD" w:rsidP="009132AD">
                      <w:r w:rsidRPr="009A0093">
                        <w:rPr>
                          <w:noProof/>
                        </w:rPr>
                        <w:drawing>
                          <wp:inline distT="0" distB="0" distL="0" distR="0" wp14:anchorId="634B4F5E" wp14:editId="71A62796">
                            <wp:extent cx="2209800" cy="1066800"/>
                            <wp:effectExtent l="0" t="0" r="0" b="0"/>
                            <wp:docPr id="2" name="Picture 2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99ABA" w14:textId="77777777" w:rsidR="009132AD" w:rsidRDefault="009132AD" w:rsidP="009132AD"/>
    <w:p w14:paraId="43E1B0E1" w14:textId="77777777" w:rsidR="009132AD" w:rsidRDefault="009132AD" w:rsidP="009132AD"/>
    <w:p w14:paraId="444B8360" w14:textId="77777777" w:rsidR="009132AD" w:rsidRDefault="009132AD" w:rsidP="009132AD"/>
    <w:p w14:paraId="1FFBD956" w14:textId="77777777" w:rsidR="009132AD" w:rsidRPr="00AA4529" w:rsidRDefault="009132AD" w:rsidP="009132AD">
      <w:pPr>
        <w:rPr>
          <w:color w:val="336600"/>
          <w:sz w:val="28"/>
          <w:szCs w:val="28"/>
        </w:rPr>
      </w:pPr>
    </w:p>
    <w:p w14:paraId="1BCD7B75" w14:textId="29491191" w:rsidR="009132AD" w:rsidRDefault="009132AD" w:rsidP="009132AD">
      <w:pPr>
        <w:rPr>
          <w:rStyle w:val="Strong"/>
          <w:rFonts w:ascii="Verdana" w:hAnsi="Verdana" w:cs="Tahoma"/>
          <w:sz w:val="28"/>
          <w:szCs w:val="28"/>
        </w:rPr>
      </w:pPr>
      <w:r w:rsidRPr="002449DB">
        <w:rPr>
          <w:rFonts w:ascii="Verdana" w:hAnsi="Verdana" w:cs="Tahoma"/>
          <w:sz w:val="28"/>
          <w:szCs w:val="28"/>
        </w:rPr>
        <w:br/>
      </w:r>
    </w:p>
    <w:p w14:paraId="07DF12D7" w14:textId="77777777" w:rsidR="009132AD" w:rsidRDefault="009132AD" w:rsidP="009132AD">
      <w:pPr>
        <w:rPr>
          <w:rStyle w:val="Strong"/>
          <w:rFonts w:ascii="Verdana" w:hAnsi="Verdana" w:cs="Tahoma"/>
          <w:sz w:val="28"/>
          <w:szCs w:val="28"/>
        </w:rPr>
      </w:pPr>
    </w:p>
    <w:p w14:paraId="732A16C3" w14:textId="77777777" w:rsidR="009132AD" w:rsidRDefault="009132AD" w:rsidP="009132AD">
      <w:pPr>
        <w:rPr>
          <w:rStyle w:val="Strong"/>
          <w:rFonts w:ascii="Verdana" w:hAnsi="Verdana" w:cs="Tahoma"/>
          <w:sz w:val="28"/>
          <w:szCs w:val="28"/>
        </w:rPr>
      </w:pPr>
    </w:p>
    <w:p w14:paraId="7C50F367" w14:textId="13E27EE0" w:rsidR="009132AD" w:rsidRPr="002449DB" w:rsidRDefault="009132AD" w:rsidP="009132AD">
      <w:pPr>
        <w:rPr>
          <w:rStyle w:val="Strong"/>
          <w:rFonts w:ascii="Verdana" w:hAnsi="Verdana" w:cs="Tahoma"/>
          <w:sz w:val="28"/>
          <w:szCs w:val="28"/>
        </w:rPr>
      </w:pPr>
      <w:r w:rsidRPr="002449DB">
        <w:rPr>
          <w:rStyle w:val="Strong"/>
          <w:rFonts w:ascii="Verdana" w:hAnsi="Verdana" w:cs="Tahoma"/>
          <w:sz w:val="28"/>
          <w:szCs w:val="28"/>
        </w:rPr>
        <w:t xml:space="preserve">Knowledge is Power: </w:t>
      </w:r>
      <w:r>
        <w:rPr>
          <w:rStyle w:val="Strong"/>
          <w:rFonts w:ascii="Verdana" w:hAnsi="Verdana" w:cs="Tahoma"/>
          <w:sz w:val="28"/>
          <w:szCs w:val="28"/>
        </w:rPr>
        <w:br/>
      </w:r>
      <w:r w:rsidRPr="002449DB">
        <w:rPr>
          <w:rStyle w:val="Strong"/>
          <w:rFonts w:ascii="Verdana" w:hAnsi="Verdana" w:cs="Tahoma"/>
          <w:sz w:val="28"/>
          <w:szCs w:val="28"/>
        </w:rPr>
        <w:t>using research to conserve historic parks and gardens</w:t>
      </w:r>
    </w:p>
    <w:p w14:paraId="4896B0C7" w14:textId="77777777" w:rsidR="009132AD" w:rsidRPr="00364BD4" w:rsidRDefault="009132AD" w:rsidP="009132AD">
      <w:pPr>
        <w:rPr>
          <w:rFonts w:ascii="Verdana" w:hAnsi="Verdana" w:cs="Tahoma"/>
          <w:b/>
          <w:sz w:val="22"/>
          <w:szCs w:val="22"/>
        </w:rPr>
      </w:pPr>
      <w:r w:rsidRPr="00364BD4">
        <w:rPr>
          <w:rStyle w:val="Strong"/>
          <w:rFonts w:ascii="Verdana" w:hAnsi="Verdana" w:cs="Tahoma"/>
          <w:sz w:val="22"/>
          <w:szCs w:val="22"/>
        </w:rPr>
        <w:t>28th February 2017, 10-4pm</w:t>
      </w:r>
    </w:p>
    <w:p w14:paraId="58088D98" w14:textId="30B82A4E" w:rsidR="009132AD" w:rsidRDefault="009132AD" w:rsidP="009132AD">
      <w:pPr>
        <w:spacing w:line="360" w:lineRule="auto"/>
        <w:rPr>
          <w:rFonts w:ascii="Verdana" w:hAnsi="Verdana"/>
          <w:b/>
          <w:sz w:val="22"/>
          <w:szCs w:val="22"/>
        </w:rPr>
      </w:pPr>
      <w:proofErr w:type="spellStart"/>
      <w:r w:rsidRPr="00364BD4">
        <w:rPr>
          <w:rFonts w:ascii="Verdana" w:hAnsi="Verdana"/>
          <w:b/>
          <w:sz w:val="22"/>
          <w:szCs w:val="22"/>
        </w:rPr>
        <w:t>Hodsock</w:t>
      </w:r>
      <w:proofErr w:type="spellEnd"/>
      <w:r w:rsidRPr="00364BD4">
        <w:rPr>
          <w:rFonts w:ascii="Verdana" w:hAnsi="Verdana"/>
          <w:b/>
          <w:sz w:val="22"/>
          <w:szCs w:val="22"/>
        </w:rPr>
        <w:t xml:space="preserve"> Priory, Blyth, Worksop, Nottinghamshire S81 0TY</w:t>
      </w:r>
    </w:p>
    <w:p w14:paraId="243BC8BB" w14:textId="249071F8" w:rsidR="009132AD" w:rsidRDefault="009132AD" w:rsidP="009132A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4710E3C" w14:textId="729D8489" w:rsidR="009132AD" w:rsidRDefault="009132AD" w:rsidP="009132AD">
      <w:pPr>
        <w:rPr>
          <w:rStyle w:val="Strong"/>
          <w:rFonts w:ascii="Verdana" w:hAnsi="Verdana" w:cs="Tahoma"/>
          <w:sz w:val="28"/>
          <w:szCs w:val="28"/>
        </w:rPr>
      </w:pPr>
      <w:r w:rsidRPr="009132AD">
        <w:rPr>
          <w:rStyle w:val="Strong"/>
          <w:rFonts w:ascii="Verdana" w:hAnsi="Verdana" w:cs="Tahoma"/>
          <w:sz w:val="28"/>
          <w:szCs w:val="28"/>
        </w:rPr>
        <w:t>Handouts List</w:t>
      </w:r>
    </w:p>
    <w:p w14:paraId="1FF271A2" w14:textId="6203A196" w:rsidR="009132AD" w:rsidRDefault="00E60170" w:rsidP="009132AD">
      <w:pPr>
        <w:rPr>
          <w:rStyle w:val="Strong"/>
          <w:rFonts w:ascii="Verdana" w:hAnsi="Verdana" w:cs="Tahoma"/>
          <w:b w:val="0"/>
          <w:bCs w:val="0"/>
          <w:sz w:val="22"/>
          <w:szCs w:val="22"/>
        </w:rPr>
      </w:pPr>
      <w:r>
        <w:rPr>
          <w:rStyle w:val="Strong"/>
          <w:rFonts w:ascii="Verdana" w:hAnsi="Verdana" w:cs="Tahoma"/>
          <w:b w:val="0"/>
          <w:bCs w:val="0"/>
          <w:sz w:val="22"/>
          <w:szCs w:val="22"/>
        </w:rPr>
        <w:t>Many of t</w:t>
      </w:r>
      <w:r w:rsidR="009132AD" w:rsidRPr="009132AD">
        <w:rPr>
          <w:rStyle w:val="Strong"/>
          <w:rFonts w:ascii="Verdana" w:hAnsi="Verdana" w:cs="Tahoma"/>
          <w:b w:val="0"/>
          <w:bCs w:val="0"/>
          <w:sz w:val="22"/>
          <w:szCs w:val="22"/>
        </w:rPr>
        <w:t>he following h</w:t>
      </w:r>
      <w:bookmarkStart w:id="0" w:name="_GoBack"/>
      <w:bookmarkEnd w:id="0"/>
      <w:r w:rsidR="009132AD" w:rsidRPr="009132AD">
        <w:rPr>
          <w:rStyle w:val="Strong"/>
          <w:rFonts w:ascii="Verdana" w:hAnsi="Verdana" w:cs="Tahoma"/>
          <w:b w:val="0"/>
          <w:bCs w:val="0"/>
          <w:sz w:val="22"/>
          <w:szCs w:val="22"/>
        </w:rPr>
        <w:t>andouts are available elsewhere on our Resource Hub:</w:t>
      </w:r>
    </w:p>
    <w:p w14:paraId="6AFC7C0E" w14:textId="77777777" w:rsidR="008D75D5" w:rsidRDefault="008D75D5" w:rsidP="009132AD">
      <w:pPr>
        <w:rPr>
          <w:rStyle w:val="Strong"/>
          <w:rFonts w:ascii="Verdana" w:hAnsi="Verdana" w:cs="Tahoma"/>
          <w:b w:val="0"/>
          <w:bCs w:val="0"/>
          <w:sz w:val="22"/>
          <w:szCs w:val="22"/>
        </w:rPr>
      </w:pPr>
    </w:p>
    <w:p w14:paraId="22DF6D06" w14:textId="70664BE7" w:rsidR="009132AD" w:rsidRDefault="009132AD" w:rsidP="009132AD">
      <w:pPr>
        <w:rPr>
          <w:rStyle w:val="Strong"/>
          <w:rFonts w:ascii="Verdana" w:hAnsi="Verdana" w:cs="Tahoma"/>
          <w:b w:val="0"/>
          <w:bCs w:val="0"/>
          <w:sz w:val="22"/>
          <w:szCs w:val="22"/>
        </w:rPr>
      </w:pPr>
    </w:p>
    <w:p w14:paraId="34EF2DE6" w14:textId="48F56754" w:rsidR="00456D2F" w:rsidRDefault="00456D2F" w:rsidP="00456D2F">
      <w:pPr>
        <w:rPr>
          <w:rFonts w:ascii="Verdana" w:hAnsi="Verdana"/>
          <w:color w:val="00B050"/>
          <w:sz w:val="22"/>
          <w:szCs w:val="22"/>
        </w:rPr>
      </w:pPr>
      <w:r w:rsidRPr="00456D2F">
        <w:rPr>
          <w:rFonts w:ascii="Verdana" w:hAnsi="Verdana"/>
          <w:color w:val="00B050"/>
          <w:sz w:val="22"/>
          <w:szCs w:val="22"/>
        </w:rPr>
        <w:t>H</w:t>
      </w:r>
      <w:r>
        <w:rPr>
          <w:rFonts w:ascii="Verdana" w:hAnsi="Verdana"/>
          <w:color w:val="00B050"/>
          <w:sz w:val="22"/>
          <w:szCs w:val="22"/>
        </w:rPr>
        <w:t>istoric Landscape Project</w:t>
      </w:r>
      <w:r w:rsidRPr="00456D2F">
        <w:rPr>
          <w:rFonts w:ascii="Verdana" w:hAnsi="Verdana"/>
          <w:color w:val="00B050"/>
          <w:sz w:val="22"/>
          <w:szCs w:val="22"/>
        </w:rPr>
        <w:t xml:space="preserve"> Handout</w:t>
      </w:r>
      <w:r>
        <w:rPr>
          <w:rFonts w:ascii="Verdana" w:hAnsi="Verdana"/>
          <w:color w:val="00B050"/>
          <w:sz w:val="22"/>
          <w:szCs w:val="22"/>
        </w:rPr>
        <w:t>s</w:t>
      </w:r>
      <w:r w:rsidRPr="00456D2F">
        <w:rPr>
          <w:rFonts w:ascii="Verdana" w:hAnsi="Verdana"/>
          <w:color w:val="00B050"/>
          <w:sz w:val="22"/>
          <w:szCs w:val="22"/>
        </w:rPr>
        <w:t xml:space="preserve">: </w:t>
      </w:r>
    </w:p>
    <w:p w14:paraId="192E4DD1" w14:textId="77777777" w:rsidR="00456D2F" w:rsidRDefault="00456D2F" w:rsidP="00456D2F">
      <w:pPr>
        <w:pStyle w:val="ListParagraph"/>
        <w:numPr>
          <w:ilvl w:val="0"/>
          <w:numId w:val="4"/>
        </w:numPr>
        <w:rPr>
          <w:rFonts w:ascii="Verdana" w:hAnsi="Verdana"/>
          <w:color w:val="00B050"/>
          <w:sz w:val="22"/>
          <w:szCs w:val="22"/>
        </w:rPr>
      </w:pPr>
      <w:r w:rsidRPr="00456D2F">
        <w:rPr>
          <w:rFonts w:ascii="Verdana" w:hAnsi="Verdana"/>
          <w:color w:val="00B050"/>
          <w:sz w:val="22"/>
          <w:szCs w:val="22"/>
        </w:rPr>
        <w:t>Historic Environment Records: Unlocking the potential</w:t>
      </w:r>
    </w:p>
    <w:p w14:paraId="028FC900" w14:textId="77777777" w:rsidR="007751F1" w:rsidRPr="00456D2F" w:rsidRDefault="007751F1" w:rsidP="007751F1">
      <w:pPr>
        <w:pStyle w:val="ListParagraph"/>
        <w:numPr>
          <w:ilvl w:val="0"/>
          <w:numId w:val="4"/>
        </w:numPr>
        <w:rPr>
          <w:rFonts w:ascii="Verdana" w:hAnsi="Verdana"/>
          <w:bCs/>
          <w:color w:val="00B050"/>
          <w:sz w:val="22"/>
          <w:szCs w:val="22"/>
        </w:rPr>
      </w:pPr>
      <w:r w:rsidRPr="00456D2F">
        <w:rPr>
          <w:rFonts w:ascii="Verdana" w:hAnsi="Verdana"/>
          <w:bCs/>
          <w:color w:val="00B050"/>
          <w:sz w:val="22"/>
          <w:szCs w:val="22"/>
        </w:rPr>
        <w:t>Designations protecting the historic designed landscape</w:t>
      </w:r>
    </w:p>
    <w:p w14:paraId="6B701605" w14:textId="67567ADD" w:rsidR="007751F1" w:rsidRDefault="007751F1" w:rsidP="007751F1">
      <w:pPr>
        <w:pStyle w:val="ListParagraph"/>
        <w:numPr>
          <w:ilvl w:val="0"/>
          <w:numId w:val="4"/>
        </w:numPr>
        <w:rPr>
          <w:rFonts w:ascii="Verdana" w:hAnsi="Verdana"/>
          <w:bCs/>
          <w:color w:val="00B050"/>
          <w:sz w:val="22"/>
          <w:szCs w:val="22"/>
        </w:rPr>
      </w:pPr>
      <w:r w:rsidRPr="00456D2F">
        <w:rPr>
          <w:rFonts w:ascii="Verdana" w:hAnsi="Verdana"/>
          <w:bCs/>
          <w:color w:val="00B050"/>
          <w:sz w:val="22"/>
          <w:szCs w:val="22"/>
        </w:rPr>
        <w:t>Conserving Significance: Introduction to Identifying Values</w:t>
      </w:r>
    </w:p>
    <w:p w14:paraId="50CE454D" w14:textId="77777777" w:rsidR="007751F1" w:rsidRPr="007751F1" w:rsidRDefault="007751F1" w:rsidP="007751F1">
      <w:pPr>
        <w:pStyle w:val="ListParagraph"/>
        <w:numPr>
          <w:ilvl w:val="0"/>
          <w:numId w:val="4"/>
        </w:numPr>
        <w:rPr>
          <w:rFonts w:ascii="Verdana" w:hAnsi="Verdana"/>
          <w:bCs/>
          <w:color w:val="00B050"/>
          <w:sz w:val="22"/>
          <w:szCs w:val="22"/>
        </w:rPr>
      </w:pPr>
      <w:r w:rsidRPr="007751F1">
        <w:rPr>
          <w:rFonts w:ascii="Verdana" w:hAnsi="Verdana"/>
          <w:bCs/>
          <w:color w:val="00B050"/>
          <w:sz w:val="22"/>
          <w:szCs w:val="22"/>
        </w:rPr>
        <w:t>Public Parks in Crisis: How CGTs can help</w:t>
      </w:r>
    </w:p>
    <w:p w14:paraId="7BB4592E" w14:textId="773A4EF8" w:rsidR="007751F1" w:rsidRDefault="007751F1" w:rsidP="007751F1">
      <w:pPr>
        <w:rPr>
          <w:rFonts w:ascii="Verdana" w:hAnsi="Verdana"/>
          <w:bCs/>
          <w:color w:val="00B050"/>
          <w:sz w:val="22"/>
          <w:szCs w:val="22"/>
        </w:rPr>
      </w:pPr>
    </w:p>
    <w:p w14:paraId="49780163" w14:textId="0CCA3A63" w:rsidR="00194488" w:rsidRDefault="00194488" w:rsidP="007751F1">
      <w:pPr>
        <w:rPr>
          <w:rFonts w:ascii="Verdana" w:hAnsi="Verdana"/>
          <w:color w:val="00B050"/>
          <w:sz w:val="22"/>
          <w:szCs w:val="22"/>
        </w:rPr>
      </w:pPr>
      <w:r>
        <w:rPr>
          <w:rFonts w:ascii="Verdana" w:hAnsi="Verdana"/>
          <w:color w:val="00B050"/>
          <w:sz w:val="22"/>
          <w:szCs w:val="22"/>
        </w:rPr>
        <w:t>The Gardens Trust, 2016, ‘Uncertain Prospects: Public Parks in the New Age of Austerity’</w:t>
      </w:r>
    </w:p>
    <w:p w14:paraId="18E1D8B9" w14:textId="77777777" w:rsidR="00194488" w:rsidRDefault="00194488" w:rsidP="007751F1">
      <w:pPr>
        <w:rPr>
          <w:rFonts w:ascii="Verdana" w:hAnsi="Verdana"/>
          <w:color w:val="00B050"/>
          <w:sz w:val="22"/>
          <w:szCs w:val="22"/>
        </w:rPr>
      </w:pPr>
    </w:p>
    <w:p w14:paraId="5E89EB97" w14:textId="1BDA1845" w:rsidR="007751F1" w:rsidRPr="007751F1" w:rsidRDefault="007751F1" w:rsidP="007751F1">
      <w:pPr>
        <w:rPr>
          <w:rFonts w:ascii="Verdana" w:hAnsi="Verdana"/>
          <w:color w:val="00B050"/>
          <w:sz w:val="22"/>
          <w:szCs w:val="22"/>
        </w:rPr>
      </w:pPr>
      <w:r w:rsidRPr="007751F1">
        <w:rPr>
          <w:rFonts w:ascii="Verdana" w:hAnsi="Verdana"/>
          <w:color w:val="00B050"/>
          <w:sz w:val="22"/>
          <w:szCs w:val="22"/>
        </w:rPr>
        <w:t>Katy Layton-Jones</w:t>
      </w:r>
      <w:r>
        <w:rPr>
          <w:rFonts w:ascii="Verdana" w:hAnsi="Verdana"/>
          <w:color w:val="00B050"/>
          <w:sz w:val="22"/>
          <w:szCs w:val="22"/>
        </w:rPr>
        <w:t>,</w:t>
      </w:r>
      <w:r w:rsidRPr="007751F1">
        <w:rPr>
          <w:rFonts w:ascii="Verdana" w:hAnsi="Verdana"/>
          <w:color w:val="00B050"/>
          <w:sz w:val="22"/>
          <w:szCs w:val="22"/>
        </w:rPr>
        <w:t xml:space="preserve"> </w:t>
      </w:r>
      <w:r>
        <w:rPr>
          <w:rFonts w:ascii="Verdana" w:hAnsi="Verdana"/>
          <w:color w:val="00B050"/>
          <w:sz w:val="22"/>
          <w:szCs w:val="22"/>
        </w:rPr>
        <w:t>‘</w:t>
      </w:r>
      <w:r w:rsidRPr="007751F1">
        <w:rPr>
          <w:rFonts w:ascii="Verdana" w:hAnsi="Verdana"/>
          <w:color w:val="00B050"/>
          <w:sz w:val="22"/>
          <w:szCs w:val="22"/>
        </w:rPr>
        <w:t>Reading list for public parks and public green spaces</w:t>
      </w:r>
      <w:r>
        <w:rPr>
          <w:rFonts w:ascii="Verdana" w:hAnsi="Verdana"/>
          <w:color w:val="00B050"/>
          <w:sz w:val="22"/>
          <w:szCs w:val="22"/>
        </w:rPr>
        <w:t>’, b</w:t>
      </w:r>
      <w:r w:rsidRPr="007751F1">
        <w:rPr>
          <w:rFonts w:ascii="Verdana" w:hAnsi="Verdana"/>
          <w:color w:val="00B050"/>
          <w:sz w:val="22"/>
          <w:szCs w:val="22"/>
        </w:rPr>
        <w:t>ased on a literature survey compiled for English Heritage’s National Review of Research Priorities for Urban Parks, Designed Landscapes, and Open Spaces and updated by the author in 2017</w:t>
      </w:r>
    </w:p>
    <w:p w14:paraId="3328BC84" w14:textId="3CD4E9E5" w:rsidR="007751F1" w:rsidRPr="007751F1" w:rsidRDefault="007751F1" w:rsidP="007751F1">
      <w:pPr>
        <w:rPr>
          <w:rFonts w:ascii="Verdana" w:hAnsi="Verdana"/>
          <w:color w:val="00B050"/>
          <w:sz w:val="22"/>
          <w:szCs w:val="22"/>
        </w:rPr>
      </w:pPr>
    </w:p>
    <w:p w14:paraId="327ABE0A" w14:textId="5DD8B5B8" w:rsidR="007751F1" w:rsidRPr="007751F1" w:rsidRDefault="007751F1" w:rsidP="007751F1">
      <w:pPr>
        <w:rPr>
          <w:rFonts w:ascii="Verdana" w:hAnsi="Verdana"/>
          <w:bCs/>
          <w:color w:val="00B050"/>
          <w:sz w:val="22"/>
          <w:szCs w:val="22"/>
        </w:rPr>
      </w:pPr>
      <w:r>
        <w:rPr>
          <w:rFonts w:ascii="Verdana" w:hAnsi="Verdana"/>
          <w:bCs/>
          <w:color w:val="00B050"/>
          <w:sz w:val="22"/>
          <w:szCs w:val="22"/>
        </w:rPr>
        <w:t>National Federation of Parks and Green Spaces,</w:t>
      </w:r>
      <w:r w:rsidR="00194488">
        <w:rPr>
          <w:rFonts w:ascii="Verdana" w:hAnsi="Verdana"/>
          <w:bCs/>
          <w:color w:val="00B050"/>
          <w:sz w:val="22"/>
          <w:szCs w:val="22"/>
        </w:rPr>
        <w:t xml:space="preserve"> March 2018</w:t>
      </w:r>
      <w:r>
        <w:rPr>
          <w:rFonts w:ascii="Verdana" w:hAnsi="Verdana"/>
          <w:bCs/>
          <w:color w:val="00B050"/>
          <w:sz w:val="22"/>
          <w:szCs w:val="22"/>
        </w:rPr>
        <w:t xml:space="preserve"> ‘Charter for Parks’ Draft</w:t>
      </w:r>
    </w:p>
    <w:p w14:paraId="0FF3E3EE" w14:textId="77777777" w:rsidR="007751F1" w:rsidRDefault="007751F1" w:rsidP="007751F1">
      <w:pPr>
        <w:rPr>
          <w:rFonts w:ascii="Verdana" w:hAnsi="Verdana"/>
          <w:color w:val="00B050"/>
          <w:sz w:val="22"/>
          <w:szCs w:val="22"/>
        </w:rPr>
      </w:pPr>
    </w:p>
    <w:p w14:paraId="4F1DDD24" w14:textId="29D949E0" w:rsidR="007751F1" w:rsidRPr="007751F1" w:rsidRDefault="007751F1" w:rsidP="007751F1">
      <w:pPr>
        <w:rPr>
          <w:rFonts w:ascii="Verdana" w:hAnsi="Verdana"/>
          <w:color w:val="00B050"/>
          <w:sz w:val="22"/>
          <w:szCs w:val="22"/>
        </w:rPr>
      </w:pPr>
      <w:r w:rsidRPr="007751F1">
        <w:rPr>
          <w:rFonts w:ascii="Verdana" w:hAnsi="Verdana"/>
          <w:color w:val="00B050"/>
          <w:sz w:val="22"/>
          <w:szCs w:val="22"/>
        </w:rPr>
        <w:t>Hampshire Gardens Trust, ‘Urban Parks Survey: Reviewing 20 years of change’</w:t>
      </w:r>
    </w:p>
    <w:p w14:paraId="12F46819" w14:textId="1A7BD4DD" w:rsidR="007751F1" w:rsidRDefault="007751F1" w:rsidP="007751F1">
      <w:pPr>
        <w:rPr>
          <w:rFonts w:ascii="Verdana" w:hAnsi="Verdana"/>
          <w:bCs/>
          <w:color w:val="00B050"/>
          <w:sz w:val="22"/>
          <w:szCs w:val="22"/>
        </w:rPr>
      </w:pPr>
    </w:p>
    <w:p w14:paraId="1BA1ECFE" w14:textId="77777777" w:rsidR="007751F1" w:rsidRDefault="007751F1" w:rsidP="007751F1">
      <w:pPr>
        <w:rPr>
          <w:rFonts w:ascii="Verdana" w:hAnsi="Verdana"/>
          <w:bCs/>
          <w:color w:val="00B050"/>
          <w:sz w:val="22"/>
          <w:szCs w:val="22"/>
        </w:rPr>
      </w:pPr>
    </w:p>
    <w:sectPr w:rsidR="0077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A3C69"/>
    <w:multiLevelType w:val="hybridMultilevel"/>
    <w:tmpl w:val="70D8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CEC"/>
    <w:multiLevelType w:val="hybridMultilevel"/>
    <w:tmpl w:val="16C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93B"/>
    <w:multiLevelType w:val="hybridMultilevel"/>
    <w:tmpl w:val="8284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4B37"/>
    <w:multiLevelType w:val="hybridMultilevel"/>
    <w:tmpl w:val="7F06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F3FD8"/>
    <w:multiLevelType w:val="hybridMultilevel"/>
    <w:tmpl w:val="2534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D"/>
    <w:rsid w:val="00194488"/>
    <w:rsid w:val="00456D2F"/>
    <w:rsid w:val="007751F1"/>
    <w:rsid w:val="008D75D5"/>
    <w:rsid w:val="009132AD"/>
    <w:rsid w:val="009A50E5"/>
    <w:rsid w:val="00D34E84"/>
    <w:rsid w:val="00E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30D0"/>
  <w15:chartTrackingRefBased/>
  <w15:docId w15:val="{9381BF2A-977C-4648-AA8F-63248AB7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AD"/>
    <w:pPr>
      <w:spacing w:after="0" w:line="240" w:lineRule="auto"/>
    </w:pPr>
    <w:rPr>
      <w:rFonts w:ascii="Calibri" w:eastAsia="Calibri" w:hAnsi="Calibri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32AD"/>
    <w:rPr>
      <w:color w:val="0000FF"/>
      <w:u w:val="single"/>
    </w:rPr>
  </w:style>
  <w:style w:type="character" w:styleId="Strong">
    <w:name w:val="Strong"/>
    <w:uiPriority w:val="22"/>
    <w:qFormat/>
    <w:rsid w:val="009132AD"/>
    <w:rPr>
      <w:b/>
      <w:bCs/>
    </w:rPr>
  </w:style>
  <w:style w:type="paragraph" w:styleId="ListParagraph">
    <w:name w:val="List Paragraph"/>
    <w:basedOn w:val="Normal"/>
    <w:uiPriority w:val="34"/>
    <w:qFormat/>
    <w:rsid w:val="0045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gardenstrust.org" TargetMode="External"/><Relationship Id="rId5" Type="http://schemas.openxmlformats.org/officeDocument/2006/relationships/hyperlink" Target="mailto:info@thegardenstrus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McMillan</dc:creator>
  <cp:keywords/>
  <dc:description/>
  <cp:lastModifiedBy>Tamsin McMillan</cp:lastModifiedBy>
  <cp:revision>5</cp:revision>
  <dcterms:created xsi:type="dcterms:W3CDTF">2019-07-16T13:40:00Z</dcterms:created>
  <dcterms:modified xsi:type="dcterms:W3CDTF">2019-07-22T14:01:00Z</dcterms:modified>
</cp:coreProperties>
</file>